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86F98" w14:textId="381F0A9A" w:rsidR="006156EB" w:rsidRPr="003A6341" w:rsidRDefault="00C160DD" w:rsidP="00D10F32">
      <w:pPr>
        <w:shd w:val="clear" w:color="auto" w:fill="FFFFFF" w:themeFill="background1"/>
        <w:jc w:val="center"/>
        <w:rPr>
          <w:b/>
          <w:bCs/>
          <w:sz w:val="24"/>
          <w:szCs w:val="24"/>
        </w:rPr>
      </w:pPr>
      <w:bookmarkStart w:id="0" w:name="_GoBack"/>
      <w:bookmarkEnd w:id="0"/>
      <w:r w:rsidRPr="003A6341">
        <w:rPr>
          <w:b/>
          <w:bCs/>
          <w:sz w:val="24"/>
          <w:szCs w:val="24"/>
        </w:rPr>
        <w:t>ΜΕΡΙΚΗ ΑΝΑΣΤΟΛΗ ΚΙΝΗΤΟΠΟΙΗΣΕΩΝ ΓΙΑ ΤΟ «ΝΕΟ»ΔΙΚΑΣΤΙΚΟ ΧΑΡΤΗ</w:t>
      </w:r>
    </w:p>
    <w:p w14:paraId="3B7A96F6" w14:textId="06404859" w:rsidR="00C160DD" w:rsidRPr="003A6341" w:rsidRDefault="00C160DD" w:rsidP="00D10F32">
      <w:pPr>
        <w:shd w:val="clear" w:color="auto" w:fill="FFFFFF" w:themeFill="background1"/>
        <w:jc w:val="both"/>
        <w:rPr>
          <w:sz w:val="24"/>
          <w:szCs w:val="24"/>
        </w:rPr>
      </w:pPr>
      <w:r w:rsidRPr="003A6341">
        <w:rPr>
          <w:sz w:val="24"/>
          <w:szCs w:val="24"/>
        </w:rPr>
        <w:t>Το Δ.Σ. του Δ.Σ.Α. κατά τη σημερινή συνεδρίασή του λαμβάνοντας υπόψη ότι οι κινητοποιήσεις του σώματος έχ</w:t>
      </w:r>
      <w:r w:rsidR="00424E32" w:rsidRPr="003A6341">
        <w:rPr>
          <w:sz w:val="24"/>
          <w:szCs w:val="24"/>
        </w:rPr>
        <w:t>ουν</w:t>
      </w:r>
      <w:r w:rsidRPr="003A6341">
        <w:rPr>
          <w:sz w:val="24"/>
          <w:szCs w:val="24"/>
        </w:rPr>
        <w:t xml:space="preserve"> </w:t>
      </w:r>
      <w:r w:rsidR="00CF21A2" w:rsidRPr="003A6341">
        <w:rPr>
          <w:sz w:val="24"/>
          <w:szCs w:val="24"/>
        </w:rPr>
        <w:t>οδηγήσει</w:t>
      </w:r>
      <w:r w:rsidRPr="003A6341">
        <w:rPr>
          <w:sz w:val="24"/>
          <w:szCs w:val="24"/>
        </w:rPr>
        <w:t xml:space="preserve"> το Υπουργείο Δικαιοσύνης να αναλάβει νομοθετική πρωτοβουλία για την επίλυση των </w:t>
      </w:r>
      <w:r w:rsidR="00CF21A2" w:rsidRPr="003A6341">
        <w:rPr>
          <w:sz w:val="24"/>
          <w:szCs w:val="24"/>
        </w:rPr>
        <w:t>κάτωθι</w:t>
      </w:r>
      <w:r w:rsidRPr="003A6341">
        <w:rPr>
          <w:sz w:val="24"/>
          <w:szCs w:val="24"/>
        </w:rPr>
        <w:t xml:space="preserve"> ζητημάτων:</w:t>
      </w:r>
    </w:p>
    <w:p w14:paraId="11F430F1" w14:textId="5BA09439" w:rsidR="00C160DD" w:rsidRPr="003A6341" w:rsidRDefault="00C160DD" w:rsidP="00D10F32">
      <w:pPr>
        <w:shd w:val="clear" w:color="auto" w:fill="FFFFFF" w:themeFill="background1"/>
        <w:jc w:val="both"/>
        <w:rPr>
          <w:sz w:val="24"/>
          <w:szCs w:val="24"/>
        </w:rPr>
      </w:pPr>
      <w:r w:rsidRPr="003A6341">
        <w:rPr>
          <w:sz w:val="24"/>
          <w:szCs w:val="24"/>
        </w:rPr>
        <w:t>(α)</w:t>
      </w:r>
      <w:r w:rsidR="00FB4DFB" w:rsidRPr="003A6341">
        <w:rPr>
          <w:sz w:val="24"/>
          <w:szCs w:val="24"/>
        </w:rPr>
        <w:t xml:space="preserve"> αναστολή δικονομικών </w:t>
      </w:r>
      <w:r w:rsidR="00DB63A2" w:rsidRPr="003A6341">
        <w:rPr>
          <w:sz w:val="24"/>
          <w:szCs w:val="24"/>
        </w:rPr>
        <w:t xml:space="preserve">και ουσιαστικών </w:t>
      </w:r>
      <w:r w:rsidR="00FB4DFB" w:rsidRPr="003A6341">
        <w:rPr>
          <w:sz w:val="24"/>
          <w:szCs w:val="24"/>
        </w:rPr>
        <w:t xml:space="preserve">προθεσμιών </w:t>
      </w:r>
      <w:r w:rsidR="00DB63A2" w:rsidRPr="003A6341">
        <w:rPr>
          <w:sz w:val="24"/>
          <w:szCs w:val="24"/>
        </w:rPr>
        <w:t xml:space="preserve">από 16.9 </w:t>
      </w:r>
      <w:r w:rsidR="00FB4DFB" w:rsidRPr="003A6341">
        <w:rPr>
          <w:sz w:val="24"/>
          <w:szCs w:val="24"/>
        </w:rPr>
        <w:t xml:space="preserve">έως και τις 30.11.2024 </w:t>
      </w:r>
      <w:r w:rsidR="00DB63A2" w:rsidRPr="003A6341">
        <w:rPr>
          <w:sz w:val="24"/>
          <w:szCs w:val="24"/>
        </w:rPr>
        <w:t>σε όσες περιπτώσεις  η άσκηση του δικαιώματος προϋπέθετε την έκδοση πιστοποιητικού</w:t>
      </w:r>
      <w:r w:rsidR="00070272" w:rsidRPr="003A6341">
        <w:rPr>
          <w:sz w:val="24"/>
          <w:szCs w:val="24"/>
        </w:rPr>
        <w:t>, το οποίο για τεχνικούς λόγους δεν ήταν εφικτό να εκδοθεί,</w:t>
      </w:r>
      <w:r w:rsidR="00DB63A2" w:rsidRPr="003A6341">
        <w:rPr>
          <w:sz w:val="24"/>
          <w:szCs w:val="24"/>
        </w:rPr>
        <w:t xml:space="preserve"> </w:t>
      </w:r>
      <w:r w:rsidR="00070272" w:rsidRPr="003A6341">
        <w:rPr>
          <w:sz w:val="24"/>
          <w:szCs w:val="24"/>
        </w:rPr>
        <w:t xml:space="preserve">και η προθεσμία εξέπνεε εντός του ανωτέρω χρονικού διαστήματος </w:t>
      </w:r>
    </w:p>
    <w:p w14:paraId="5F8E8871" w14:textId="2AF0EA45" w:rsidR="00C160DD" w:rsidRPr="003A6341" w:rsidRDefault="00C160DD" w:rsidP="00D10F32">
      <w:pPr>
        <w:shd w:val="clear" w:color="auto" w:fill="FFFFFF" w:themeFill="background1"/>
        <w:jc w:val="both"/>
        <w:rPr>
          <w:sz w:val="24"/>
          <w:szCs w:val="24"/>
        </w:rPr>
      </w:pPr>
      <w:r w:rsidRPr="003A6341">
        <w:rPr>
          <w:sz w:val="24"/>
          <w:szCs w:val="24"/>
        </w:rPr>
        <w:t>(β)</w:t>
      </w:r>
      <w:r w:rsidR="00FB4DFB" w:rsidRPr="003A6341">
        <w:rPr>
          <w:sz w:val="24"/>
          <w:szCs w:val="24"/>
        </w:rPr>
        <w:t xml:space="preserve"> πρόβλεψη για την κατά τόπο αρμοδιότητα αναφορικά</w:t>
      </w:r>
      <w:r w:rsidR="00070272" w:rsidRPr="003A6341">
        <w:rPr>
          <w:sz w:val="24"/>
          <w:szCs w:val="24"/>
        </w:rPr>
        <w:t xml:space="preserve"> με</w:t>
      </w:r>
      <w:r w:rsidR="00FB4DFB" w:rsidRPr="003A6341">
        <w:rPr>
          <w:sz w:val="24"/>
          <w:szCs w:val="24"/>
        </w:rPr>
        <w:t xml:space="preserve"> τις εκκρεμείς υποθέσεις </w:t>
      </w:r>
      <w:r w:rsidR="00CF21A2" w:rsidRPr="003A6341">
        <w:rPr>
          <w:sz w:val="24"/>
          <w:szCs w:val="24"/>
        </w:rPr>
        <w:t xml:space="preserve"> που είχαν προσδιορισθεί πριν τις 16.9.2024 να εκδικασθούν ενώπιον των </w:t>
      </w:r>
      <w:proofErr w:type="spellStart"/>
      <w:r w:rsidR="00FB4DFB" w:rsidRPr="003A6341">
        <w:rPr>
          <w:sz w:val="24"/>
          <w:szCs w:val="24"/>
        </w:rPr>
        <w:t>καταργηθέντων</w:t>
      </w:r>
      <w:proofErr w:type="spellEnd"/>
      <w:r w:rsidR="00FB4DFB" w:rsidRPr="003A6341">
        <w:rPr>
          <w:sz w:val="24"/>
          <w:szCs w:val="24"/>
        </w:rPr>
        <w:t xml:space="preserve"> Ειρηνοδικείων </w:t>
      </w:r>
      <w:r w:rsidR="00CF21A2" w:rsidRPr="003A6341">
        <w:rPr>
          <w:sz w:val="24"/>
          <w:szCs w:val="24"/>
        </w:rPr>
        <w:t>της Αθήνας</w:t>
      </w:r>
    </w:p>
    <w:p w14:paraId="1C8E43D7" w14:textId="3B7A90D2" w:rsidR="00C160DD" w:rsidRPr="003A6341" w:rsidRDefault="00C160DD" w:rsidP="00D10F32">
      <w:pPr>
        <w:shd w:val="clear" w:color="auto" w:fill="FFFFFF" w:themeFill="background1"/>
        <w:jc w:val="both"/>
        <w:rPr>
          <w:sz w:val="24"/>
          <w:szCs w:val="24"/>
        </w:rPr>
      </w:pPr>
      <w:r w:rsidRPr="003A6341">
        <w:rPr>
          <w:sz w:val="24"/>
          <w:szCs w:val="24"/>
        </w:rPr>
        <w:t>(γ)</w:t>
      </w:r>
      <w:r w:rsidR="00FB4DFB" w:rsidRPr="003A6341">
        <w:rPr>
          <w:sz w:val="24"/>
          <w:szCs w:val="24"/>
        </w:rPr>
        <w:t xml:space="preserve"> επίλυση ζητήματος γραμματίου προείσπραξης για τη νέα τακτική διαδικασία</w:t>
      </w:r>
      <w:r w:rsidR="00070272" w:rsidRPr="003A6341">
        <w:rPr>
          <w:sz w:val="24"/>
          <w:szCs w:val="24"/>
        </w:rPr>
        <w:t xml:space="preserve">, προκειμένου γραμμάτια που </w:t>
      </w:r>
      <w:proofErr w:type="spellStart"/>
      <w:r w:rsidR="00070272" w:rsidRPr="003A6341">
        <w:rPr>
          <w:sz w:val="24"/>
          <w:szCs w:val="24"/>
        </w:rPr>
        <w:t>εξεδόθησαν</w:t>
      </w:r>
      <w:proofErr w:type="spellEnd"/>
      <w:r w:rsidR="00070272" w:rsidRPr="003A6341">
        <w:rPr>
          <w:sz w:val="24"/>
          <w:szCs w:val="24"/>
        </w:rPr>
        <w:t xml:space="preserve"> προ της ισχύος του Ν. 5108/2024 να θεωρούνται έγκυρα για τη συζήτηση της υπόθεσης μετά τις 16.9.2024</w:t>
      </w:r>
      <w:r w:rsidR="00CF21A2" w:rsidRPr="003A6341">
        <w:rPr>
          <w:sz w:val="24"/>
          <w:szCs w:val="24"/>
        </w:rPr>
        <w:t xml:space="preserve">, καθώς και τη νομότυπη χρησιμοποίηση των </w:t>
      </w:r>
      <w:proofErr w:type="spellStart"/>
      <w:r w:rsidR="00CF21A2" w:rsidRPr="003A6341">
        <w:rPr>
          <w:sz w:val="24"/>
          <w:szCs w:val="24"/>
        </w:rPr>
        <w:t>εκδοθέντων</w:t>
      </w:r>
      <w:proofErr w:type="spellEnd"/>
      <w:r w:rsidR="00CF21A2" w:rsidRPr="003A6341">
        <w:rPr>
          <w:sz w:val="24"/>
          <w:szCs w:val="24"/>
        </w:rPr>
        <w:t xml:space="preserve"> πριν τις 16.9.2024 γραμματίων προείσπραξης Ειρηνοδικείων</w:t>
      </w:r>
    </w:p>
    <w:p w14:paraId="0F8665BF" w14:textId="3F11A37C" w:rsidR="00C160DD" w:rsidRPr="003A6341" w:rsidRDefault="00C160DD" w:rsidP="00D10F32">
      <w:pPr>
        <w:shd w:val="clear" w:color="auto" w:fill="FFFFFF" w:themeFill="background1"/>
        <w:jc w:val="both"/>
        <w:rPr>
          <w:sz w:val="24"/>
          <w:szCs w:val="24"/>
        </w:rPr>
      </w:pPr>
      <w:r w:rsidRPr="003A6341">
        <w:rPr>
          <w:sz w:val="24"/>
          <w:szCs w:val="24"/>
        </w:rPr>
        <w:t>(δ)</w:t>
      </w:r>
      <w:r w:rsidR="00FB4DFB" w:rsidRPr="003A6341">
        <w:rPr>
          <w:sz w:val="24"/>
          <w:szCs w:val="24"/>
        </w:rPr>
        <w:t xml:space="preserve"> μείωση του γραμματίου προείσπραξης για τις μικροδιαφορές</w:t>
      </w:r>
    </w:p>
    <w:p w14:paraId="388117D7" w14:textId="2B7CF7CA" w:rsidR="00C160DD" w:rsidRPr="003A6341" w:rsidRDefault="00C160DD" w:rsidP="00D10F32">
      <w:pPr>
        <w:shd w:val="clear" w:color="auto" w:fill="FFFFFF" w:themeFill="background1"/>
        <w:jc w:val="both"/>
        <w:rPr>
          <w:sz w:val="24"/>
          <w:szCs w:val="24"/>
        </w:rPr>
      </w:pPr>
      <w:r w:rsidRPr="003A6341">
        <w:rPr>
          <w:sz w:val="24"/>
          <w:szCs w:val="24"/>
        </w:rPr>
        <w:t>(ε)</w:t>
      </w:r>
      <w:r w:rsidR="00FB4DFB" w:rsidRPr="003A6341">
        <w:rPr>
          <w:sz w:val="24"/>
          <w:szCs w:val="24"/>
        </w:rPr>
        <w:t xml:space="preserve"> επίλυση ζητημάτων </w:t>
      </w:r>
      <w:r w:rsidR="00070272" w:rsidRPr="003A6341">
        <w:rPr>
          <w:sz w:val="24"/>
          <w:szCs w:val="24"/>
        </w:rPr>
        <w:t xml:space="preserve">κατάθεσης δικογράφων σε </w:t>
      </w:r>
      <w:r w:rsidR="00FB4DFB" w:rsidRPr="003A6341">
        <w:rPr>
          <w:sz w:val="24"/>
          <w:szCs w:val="24"/>
        </w:rPr>
        <w:t>παράλληλη</w:t>
      </w:r>
      <w:r w:rsidR="00070272" w:rsidRPr="003A6341">
        <w:rPr>
          <w:sz w:val="24"/>
          <w:szCs w:val="24"/>
        </w:rPr>
        <w:t xml:space="preserve"> </w:t>
      </w:r>
      <w:r w:rsidR="00FB4DFB" w:rsidRPr="003A6341">
        <w:rPr>
          <w:sz w:val="24"/>
          <w:szCs w:val="24"/>
        </w:rPr>
        <w:t>έδρα</w:t>
      </w:r>
    </w:p>
    <w:p w14:paraId="1A101146" w14:textId="40504A3E" w:rsidR="00FB4DFB" w:rsidRPr="003A6341" w:rsidRDefault="00424E32" w:rsidP="00D10F32">
      <w:pPr>
        <w:shd w:val="clear" w:color="auto" w:fill="FFFFFF" w:themeFill="background1"/>
        <w:jc w:val="both"/>
        <w:rPr>
          <w:sz w:val="24"/>
          <w:szCs w:val="24"/>
        </w:rPr>
      </w:pPr>
      <w:r w:rsidRPr="003A6341">
        <w:rPr>
          <w:sz w:val="24"/>
          <w:szCs w:val="24"/>
        </w:rPr>
        <w:t xml:space="preserve">με τις εξής </w:t>
      </w:r>
      <w:r w:rsidR="00FB4DFB" w:rsidRPr="003A6341">
        <w:rPr>
          <w:sz w:val="24"/>
          <w:szCs w:val="24"/>
        </w:rPr>
        <w:t>διατάξεις</w:t>
      </w:r>
      <w:r w:rsidR="00107AEA" w:rsidRPr="003A6341">
        <w:rPr>
          <w:sz w:val="24"/>
          <w:szCs w:val="24"/>
        </w:rPr>
        <w:t>,</w:t>
      </w:r>
      <w:r w:rsidR="00D10F32" w:rsidRPr="003A6341">
        <w:rPr>
          <w:sz w:val="24"/>
          <w:szCs w:val="24"/>
        </w:rPr>
        <w:t xml:space="preserve"> επί των οποίων επίκεινται παρατηρήσεις μας για την τελική διαμόρφωσή τους,</w:t>
      </w:r>
      <w:r w:rsidR="00107AEA" w:rsidRPr="003A6341">
        <w:rPr>
          <w:sz w:val="24"/>
          <w:szCs w:val="24"/>
        </w:rPr>
        <w:t xml:space="preserve"> </w:t>
      </w:r>
      <w:r w:rsidR="00FB4DFB" w:rsidRPr="003A6341">
        <w:rPr>
          <w:sz w:val="24"/>
          <w:szCs w:val="24"/>
        </w:rPr>
        <w:t xml:space="preserve">προκειμένου </w:t>
      </w:r>
      <w:r w:rsidR="00D10F32" w:rsidRPr="003A6341">
        <w:rPr>
          <w:sz w:val="24"/>
          <w:szCs w:val="24"/>
        </w:rPr>
        <w:t xml:space="preserve">εν συνεχεία </w:t>
      </w:r>
      <w:r w:rsidR="00FB4DFB" w:rsidRPr="003A6341">
        <w:rPr>
          <w:sz w:val="24"/>
          <w:szCs w:val="24"/>
        </w:rPr>
        <w:t xml:space="preserve">να ψηφιστούν οι σχετικές τροπολογίες: </w:t>
      </w:r>
    </w:p>
    <w:p w14:paraId="7F061351" w14:textId="7623A9C6" w:rsidR="00D10F32" w:rsidRPr="003A6341" w:rsidRDefault="00604BF6" w:rsidP="00D10F32">
      <w:pPr>
        <w:shd w:val="clear" w:color="auto" w:fill="FFFFFF" w:themeFill="background1"/>
        <w:spacing w:after="0"/>
        <w:jc w:val="center"/>
        <w:rPr>
          <w:rFonts w:ascii="Calibri" w:hAnsi="Calibri"/>
          <w:i/>
          <w:iCs/>
        </w:rPr>
      </w:pPr>
      <w:r w:rsidRPr="003A6341">
        <w:rPr>
          <w:rFonts w:ascii="Calibri" w:hAnsi="Calibri"/>
          <w:b/>
          <w:bCs/>
          <w:i/>
          <w:iCs/>
        </w:rPr>
        <w:t>«</w:t>
      </w:r>
      <w:r w:rsidR="00D10F32" w:rsidRPr="003A6341">
        <w:rPr>
          <w:rFonts w:ascii="Calibri" w:hAnsi="Calibri"/>
          <w:b/>
          <w:bCs/>
          <w:i/>
          <w:iCs/>
        </w:rPr>
        <w:t>Άρθρο 1</w:t>
      </w:r>
    </w:p>
    <w:p w14:paraId="272011AC" w14:textId="77777777" w:rsidR="00D10F32" w:rsidRPr="003A6341" w:rsidRDefault="00D10F32" w:rsidP="00D10F32">
      <w:pPr>
        <w:shd w:val="clear" w:color="auto" w:fill="FFFFFF" w:themeFill="background1"/>
        <w:spacing w:after="0"/>
        <w:jc w:val="center"/>
        <w:rPr>
          <w:rFonts w:ascii="Calibri" w:hAnsi="Calibri"/>
          <w:i/>
          <w:iCs/>
        </w:rPr>
      </w:pPr>
      <w:r w:rsidRPr="003A6341">
        <w:rPr>
          <w:rFonts w:ascii="Calibri" w:hAnsi="Calibri"/>
          <w:b/>
          <w:bCs/>
          <w:i/>
          <w:iCs/>
        </w:rPr>
        <w:t xml:space="preserve">Κατά </w:t>
      </w:r>
      <w:proofErr w:type="spellStart"/>
      <w:r w:rsidRPr="003A6341">
        <w:rPr>
          <w:rFonts w:ascii="Calibri" w:hAnsi="Calibri"/>
          <w:b/>
          <w:bCs/>
          <w:i/>
          <w:iCs/>
        </w:rPr>
        <w:t>τόπον</w:t>
      </w:r>
      <w:proofErr w:type="spellEnd"/>
      <w:r w:rsidRPr="003A6341">
        <w:rPr>
          <w:rFonts w:ascii="Calibri" w:hAnsi="Calibri"/>
          <w:b/>
          <w:bCs/>
          <w:i/>
          <w:iCs/>
        </w:rPr>
        <w:t xml:space="preserve"> αρμοδιότητα καταργημένων ειρηνοδικείων</w:t>
      </w:r>
    </w:p>
    <w:p w14:paraId="1452C815" w14:textId="77777777" w:rsidR="00D10F32" w:rsidRPr="003A6341" w:rsidRDefault="00D10F32" w:rsidP="00D10F32">
      <w:pPr>
        <w:shd w:val="clear" w:color="auto" w:fill="FFFFFF" w:themeFill="background1"/>
        <w:spacing w:after="0"/>
        <w:jc w:val="center"/>
        <w:rPr>
          <w:rFonts w:ascii="Calibri" w:hAnsi="Calibri"/>
          <w:b/>
          <w:bCs/>
          <w:i/>
          <w:iCs/>
        </w:rPr>
      </w:pPr>
    </w:p>
    <w:p w14:paraId="46D283E0" w14:textId="77777777" w:rsidR="00D10F32" w:rsidRPr="003A6341" w:rsidRDefault="00D10F32" w:rsidP="00D10F32">
      <w:pPr>
        <w:shd w:val="clear" w:color="auto" w:fill="FFFFFF" w:themeFill="background1"/>
        <w:spacing w:after="0"/>
        <w:jc w:val="both"/>
        <w:rPr>
          <w:rFonts w:ascii="Calibri" w:hAnsi="Calibri"/>
          <w:i/>
          <w:iCs/>
        </w:rPr>
      </w:pPr>
      <w:r w:rsidRPr="003A6341">
        <w:rPr>
          <w:rFonts w:ascii="Calibri" w:hAnsi="Calibri"/>
          <w:i/>
          <w:iCs/>
        </w:rPr>
        <w:t>Η παρ. 9 του άρθρου 14 αντικαθίσταται ως εξής:</w:t>
      </w:r>
    </w:p>
    <w:p w14:paraId="24BF2808" w14:textId="77777777" w:rsidR="00D10F32" w:rsidRPr="003A6341" w:rsidRDefault="00D10F32" w:rsidP="00D10F32">
      <w:pPr>
        <w:shd w:val="clear" w:color="auto" w:fill="FFFFFF" w:themeFill="background1"/>
        <w:spacing w:after="0"/>
        <w:jc w:val="both"/>
        <w:rPr>
          <w:rFonts w:ascii="Calibri" w:hAnsi="Calibri"/>
          <w:i/>
          <w:iCs/>
        </w:rPr>
      </w:pPr>
      <w:r w:rsidRPr="003A6341">
        <w:rPr>
          <w:rFonts w:ascii="Calibri" w:eastAsia="Times New Roman" w:hAnsi="Calibri" w:cs="Arial"/>
          <w:i/>
          <w:iCs/>
          <w:lang w:eastAsia="el-GR"/>
        </w:rPr>
        <w:t xml:space="preserve">9. Η κατά </w:t>
      </w:r>
      <w:proofErr w:type="spellStart"/>
      <w:r w:rsidRPr="003A6341">
        <w:rPr>
          <w:rFonts w:ascii="Calibri" w:eastAsia="Times New Roman" w:hAnsi="Calibri" w:cs="Arial"/>
          <w:i/>
          <w:iCs/>
          <w:lang w:eastAsia="el-GR"/>
        </w:rPr>
        <w:t>τόπον</w:t>
      </w:r>
      <w:proofErr w:type="spellEnd"/>
      <w:r w:rsidRPr="003A6341">
        <w:rPr>
          <w:rFonts w:ascii="Calibri" w:eastAsia="Times New Roman" w:hAnsi="Calibri" w:cs="Arial"/>
          <w:i/>
          <w:iCs/>
          <w:lang w:eastAsia="el-GR"/>
        </w:rPr>
        <w:t xml:space="preserve"> αρμοδιότητα των ειρηνοδικείων και πταισματοδικείων που καταργούνται και οι εκκρεμείς υποθέσεις τους – ποινικές δικογραφίες τους μεταφέρονται στην έδρα πρωτοδικείου ή στην παράλληλη ή στην περιφερειακή έδρα του πρωτοδικείου που σύμφωνα με το άρθρο 6 του παρόντος είναι κατά </w:t>
      </w:r>
      <w:proofErr w:type="spellStart"/>
      <w:r w:rsidRPr="003A6341">
        <w:rPr>
          <w:rFonts w:ascii="Calibri" w:eastAsia="Times New Roman" w:hAnsi="Calibri" w:cs="Arial"/>
          <w:i/>
          <w:iCs/>
          <w:lang w:eastAsia="el-GR"/>
        </w:rPr>
        <w:t>τόπον</w:t>
      </w:r>
      <w:proofErr w:type="spellEnd"/>
      <w:r w:rsidRPr="003A6341">
        <w:rPr>
          <w:rFonts w:ascii="Calibri" w:eastAsia="Times New Roman" w:hAnsi="Calibri" w:cs="Arial"/>
          <w:i/>
          <w:iCs/>
          <w:lang w:eastAsia="el-GR"/>
        </w:rPr>
        <w:t xml:space="preserve"> αρμόδιο αντίστοιχα. Για δήμους και δημοτικές ενότητες που μετά τη 16η.9.2024 δεν εμπίπτουν στην τοπική αρμοδιότητα περιφερειακής έδρας ή παράλληλης έδρας πρωτοδικείου, κατά </w:t>
      </w:r>
      <w:proofErr w:type="spellStart"/>
      <w:r w:rsidRPr="003A6341">
        <w:rPr>
          <w:rFonts w:ascii="Calibri" w:eastAsia="Times New Roman" w:hAnsi="Calibri" w:cs="Arial"/>
          <w:i/>
          <w:iCs/>
          <w:lang w:eastAsia="el-GR"/>
        </w:rPr>
        <w:t>τόπον</w:t>
      </w:r>
      <w:proofErr w:type="spellEnd"/>
      <w:r w:rsidRPr="003A6341">
        <w:rPr>
          <w:rFonts w:ascii="Calibri" w:eastAsia="Times New Roman" w:hAnsi="Calibri" w:cs="Arial"/>
          <w:i/>
          <w:iCs/>
          <w:lang w:eastAsia="el-GR"/>
        </w:rPr>
        <w:t xml:space="preserve"> αρμόδια είναι η έδρα του πρωτοδικείου.</w:t>
      </w:r>
    </w:p>
    <w:p w14:paraId="5240B365" w14:textId="77777777" w:rsidR="00D10F32" w:rsidRPr="003A6341" w:rsidRDefault="00D10F32" w:rsidP="00D10F32">
      <w:pPr>
        <w:shd w:val="clear" w:color="auto" w:fill="FFFFFF" w:themeFill="background1"/>
        <w:spacing w:after="0"/>
        <w:jc w:val="both"/>
        <w:rPr>
          <w:rFonts w:ascii="Calibri" w:hAnsi="Calibri"/>
          <w:i/>
          <w:iCs/>
        </w:rPr>
      </w:pPr>
      <w:r w:rsidRPr="003A6341">
        <w:rPr>
          <w:rFonts w:ascii="Calibri" w:eastAsia="Times New Roman" w:hAnsi="Calibri" w:cs="Arial"/>
          <w:i/>
          <w:iCs/>
          <w:lang w:eastAsia="el-GR"/>
        </w:rPr>
        <w:t xml:space="preserve">Όσον αφορά εκκρεμείς υποθέσεις  ενώπιον καταργημένων ειρηνοδικείων της περιφέρειας Αττικής θα προσδιορίζονται, θα </w:t>
      </w:r>
      <w:proofErr w:type="spellStart"/>
      <w:r w:rsidRPr="003A6341">
        <w:rPr>
          <w:rFonts w:ascii="Calibri" w:eastAsia="Times New Roman" w:hAnsi="Calibri" w:cs="Arial"/>
          <w:i/>
          <w:iCs/>
          <w:lang w:eastAsia="el-GR"/>
        </w:rPr>
        <w:t>συζητώνται</w:t>
      </w:r>
      <w:proofErr w:type="spellEnd"/>
      <w:r w:rsidRPr="003A6341">
        <w:rPr>
          <w:rFonts w:ascii="Calibri" w:eastAsia="Times New Roman" w:hAnsi="Calibri" w:cs="Arial"/>
          <w:i/>
          <w:iCs/>
          <w:lang w:eastAsia="el-GR"/>
        </w:rPr>
        <w:t xml:space="preserve"> και θα δημοσιεύονται από τις περιφερειακές έδρες ως εξής:</w:t>
      </w:r>
    </w:p>
    <w:p w14:paraId="004E599A" w14:textId="77777777" w:rsidR="00D10F32" w:rsidRPr="003A6341" w:rsidRDefault="00D10F32" w:rsidP="00D10F32">
      <w:pPr>
        <w:shd w:val="clear" w:color="auto" w:fill="FFFFFF" w:themeFill="background1"/>
        <w:spacing w:after="0"/>
        <w:jc w:val="both"/>
        <w:rPr>
          <w:rFonts w:ascii="Calibri" w:hAnsi="Calibri"/>
          <w:i/>
          <w:iCs/>
        </w:rPr>
      </w:pPr>
      <w:r w:rsidRPr="003A6341">
        <w:rPr>
          <w:rFonts w:ascii="Calibri" w:hAnsi="Calibri"/>
          <w:i/>
          <w:iCs/>
        </w:rPr>
        <w:t xml:space="preserve">α) Στην περιφερειακή έδρα Αμαρουσίου οι υποθέσεις που κατατέθηκαν μέχρι την 15-9-2024 στα </w:t>
      </w:r>
      <w:proofErr w:type="spellStart"/>
      <w:r w:rsidRPr="003A6341">
        <w:rPr>
          <w:rFonts w:ascii="Calibri" w:hAnsi="Calibri"/>
          <w:i/>
          <w:iCs/>
        </w:rPr>
        <w:t>καταργηθέντα</w:t>
      </w:r>
      <w:proofErr w:type="spellEnd"/>
      <w:r w:rsidRPr="003A6341">
        <w:rPr>
          <w:rFonts w:ascii="Calibri" w:hAnsi="Calibri"/>
          <w:i/>
          <w:iCs/>
        </w:rPr>
        <w:t xml:space="preserve"> Ειρηνοδικεία Αμαρουσίου, Νέας Ιωνίας και  Χαλανδρίου,  </w:t>
      </w:r>
    </w:p>
    <w:p w14:paraId="58D017C6" w14:textId="77777777" w:rsidR="00D10F32" w:rsidRPr="003A6341" w:rsidRDefault="00D10F32" w:rsidP="00D10F32">
      <w:pPr>
        <w:shd w:val="clear" w:color="auto" w:fill="FFFFFF" w:themeFill="background1"/>
        <w:spacing w:after="0"/>
        <w:jc w:val="both"/>
        <w:rPr>
          <w:rFonts w:ascii="Calibri" w:hAnsi="Calibri"/>
          <w:i/>
          <w:iCs/>
        </w:rPr>
      </w:pPr>
      <w:r w:rsidRPr="003A6341">
        <w:rPr>
          <w:rFonts w:ascii="Calibri" w:hAnsi="Calibri"/>
          <w:i/>
          <w:iCs/>
        </w:rPr>
        <w:t xml:space="preserve">β) Στην περιφερειακή έδρα Ελευσίνας οι υποθέσεις που κατατέθηκαν μέχρι την 15-9-2024 στα </w:t>
      </w:r>
      <w:proofErr w:type="spellStart"/>
      <w:r w:rsidRPr="003A6341">
        <w:rPr>
          <w:rFonts w:ascii="Calibri" w:hAnsi="Calibri"/>
          <w:i/>
          <w:iCs/>
        </w:rPr>
        <w:t>καταργηθέντα</w:t>
      </w:r>
      <w:proofErr w:type="spellEnd"/>
      <w:r w:rsidRPr="003A6341">
        <w:rPr>
          <w:rFonts w:ascii="Calibri" w:hAnsi="Calibri"/>
          <w:i/>
          <w:iCs/>
        </w:rPr>
        <w:t xml:space="preserve"> Ειρηνοδικεία Ελευσίνας και Μεγάρων</w:t>
      </w:r>
    </w:p>
    <w:p w14:paraId="422CF4ED" w14:textId="77777777" w:rsidR="00D10F32" w:rsidRPr="003A6341" w:rsidRDefault="00D10F32" w:rsidP="00D10F32">
      <w:pPr>
        <w:shd w:val="clear" w:color="auto" w:fill="FFFFFF" w:themeFill="background1"/>
        <w:spacing w:after="0"/>
        <w:jc w:val="both"/>
        <w:rPr>
          <w:rFonts w:ascii="Calibri" w:hAnsi="Calibri"/>
          <w:i/>
          <w:iCs/>
        </w:rPr>
      </w:pPr>
      <w:r w:rsidRPr="003A6341">
        <w:rPr>
          <w:rFonts w:ascii="Calibri" w:hAnsi="Calibri"/>
          <w:i/>
          <w:iCs/>
        </w:rPr>
        <w:t xml:space="preserve">γ)Στην περιφερειακή έδρα Καλλιθέας οι υποθέσεις που κατατέθηκαν μέχρι την 15-9-2024 στο </w:t>
      </w:r>
      <w:proofErr w:type="spellStart"/>
      <w:r w:rsidRPr="003A6341">
        <w:rPr>
          <w:rFonts w:ascii="Calibri" w:hAnsi="Calibri"/>
          <w:i/>
          <w:iCs/>
        </w:rPr>
        <w:t>καταργηθέν</w:t>
      </w:r>
      <w:proofErr w:type="spellEnd"/>
      <w:r w:rsidRPr="003A6341">
        <w:rPr>
          <w:rFonts w:ascii="Calibri" w:hAnsi="Calibri"/>
          <w:i/>
          <w:iCs/>
        </w:rPr>
        <w:t xml:space="preserve"> Ειρηνοδικείο Καλλιθέας</w:t>
      </w:r>
    </w:p>
    <w:p w14:paraId="51BD02D6" w14:textId="77777777" w:rsidR="00D10F32" w:rsidRPr="003A6341" w:rsidRDefault="00D10F32" w:rsidP="00D10F32">
      <w:pPr>
        <w:shd w:val="clear" w:color="auto" w:fill="FFFFFF" w:themeFill="background1"/>
        <w:spacing w:after="0"/>
        <w:jc w:val="both"/>
        <w:rPr>
          <w:rFonts w:ascii="Calibri" w:hAnsi="Calibri"/>
          <w:i/>
          <w:iCs/>
        </w:rPr>
      </w:pPr>
      <w:r w:rsidRPr="003A6341">
        <w:rPr>
          <w:rFonts w:ascii="Calibri" w:hAnsi="Calibri"/>
          <w:i/>
          <w:iCs/>
        </w:rPr>
        <w:t xml:space="preserve">δ)Στην περιφερειακή έδρα </w:t>
      </w:r>
      <w:proofErr w:type="spellStart"/>
      <w:r w:rsidRPr="003A6341">
        <w:rPr>
          <w:rFonts w:ascii="Calibri" w:hAnsi="Calibri"/>
          <w:i/>
          <w:iCs/>
        </w:rPr>
        <w:t>Κορωπίου</w:t>
      </w:r>
      <w:proofErr w:type="spellEnd"/>
      <w:r w:rsidRPr="003A6341">
        <w:rPr>
          <w:rFonts w:ascii="Calibri" w:hAnsi="Calibri"/>
          <w:i/>
          <w:iCs/>
        </w:rPr>
        <w:t xml:space="preserve"> οι υποθέσεις που κατατέθηκαν μέχρι την 15-9-2024 στα </w:t>
      </w:r>
      <w:proofErr w:type="spellStart"/>
      <w:r w:rsidRPr="003A6341">
        <w:rPr>
          <w:rFonts w:ascii="Calibri" w:hAnsi="Calibri"/>
          <w:i/>
          <w:iCs/>
        </w:rPr>
        <w:t>καταργηθέντα</w:t>
      </w:r>
      <w:proofErr w:type="spellEnd"/>
      <w:r w:rsidRPr="003A6341">
        <w:rPr>
          <w:rFonts w:ascii="Calibri" w:hAnsi="Calibri"/>
          <w:i/>
          <w:iCs/>
        </w:rPr>
        <w:t xml:space="preserve"> Ειρηνοδικεία  </w:t>
      </w:r>
      <w:proofErr w:type="spellStart"/>
      <w:r w:rsidRPr="003A6341">
        <w:rPr>
          <w:rFonts w:ascii="Calibri" w:hAnsi="Calibri"/>
          <w:i/>
          <w:iCs/>
        </w:rPr>
        <w:t>Κρωπίας</w:t>
      </w:r>
      <w:proofErr w:type="spellEnd"/>
      <w:r w:rsidRPr="003A6341">
        <w:rPr>
          <w:rFonts w:ascii="Calibri" w:hAnsi="Calibri"/>
          <w:i/>
          <w:iCs/>
        </w:rPr>
        <w:t>, Μαραθώνα και  Λαυρίου</w:t>
      </w:r>
    </w:p>
    <w:p w14:paraId="5B22A44E" w14:textId="77777777" w:rsidR="00D10F32" w:rsidRPr="003A6341" w:rsidRDefault="00D10F32" w:rsidP="00D10F32">
      <w:pPr>
        <w:shd w:val="clear" w:color="auto" w:fill="FFFFFF" w:themeFill="background1"/>
        <w:spacing w:after="0"/>
        <w:jc w:val="both"/>
        <w:rPr>
          <w:rFonts w:ascii="Calibri" w:hAnsi="Calibri"/>
          <w:i/>
          <w:iCs/>
        </w:rPr>
      </w:pPr>
      <w:r w:rsidRPr="003A6341">
        <w:rPr>
          <w:rFonts w:ascii="Calibri" w:hAnsi="Calibri"/>
          <w:i/>
          <w:iCs/>
        </w:rPr>
        <w:lastRenderedPageBreak/>
        <w:t xml:space="preserve">ε) Στην περιφερειακή έδρα Περιστερίου  οι υποθέσεις που κατατέθηκαν μέχρι την 15-9-2024 στα </w:t>
      </w:r>
      <w:proofErr w:type="spellStart"/>
      <w:r w:rsidRPr="003A6341">
        <w:rPr>
          <w:rFonts w:ascii="Calibri" w:hAnsi="Calibri"/>
          <w:i/>
          <w:iCs/>
        </w:rPr>
        <w:t>καταργηθέντα</w:t>
      </w:r>
      <w:proofErr w:type="spellEnd"/>
      <w:r w:rsidRPr="003A6341">
        <w:rPr>
          <w:rFonts w:ascii="Calibri" w:hAnsi="Calibri"/>
          <w:i/>
          <w:iCs/>
        </w:rPr>
        <w:t xml:space="preserve"> Ειρηνοδικεία Περιστερίου,  Αχαρνών και Ιλίου.</w:t>
      </w:r>
    </w:p>
    <w:p w14:paraId="5B0638FF" w14:textId="77777777" w:rsidR="00D10F32" w:rsidRPr="003A6341" w:rsidRDefault="00D10F32" w:rsidP="00D10F32">
      <w:pPr>
        <w:shd w:val="clear" w:color="auto" w:fill="FFFFFF" w:themeFill="background1"/>
        <w:spacing w:after="0"/>
        <w:jc w:val="both"/>
        <w:rPr>
          <w:rFonts w:ascii="Calibri" w:hAnsi="Calibri"/>
          <w:i/>
          <w:iCs/>
        </w:rPr>
      </w:pPr>
      <w:proofErr w:type="spellStart"/>
      <w:r w:rsidRPr="003A6341">
        <w:rPr>
          <w:rFonts w:ascii="Calibri" w:hAnsi="Calibri"/>
          <w:i/>
          <w:iCs/>
        </w:rPr>
        <w:t>στ</w:t>
      </w:r>
      <w:proofErr w:type="spellEnd"/>
      <w:r w:rsidRPr="003A6341">
        <w:rPr>
          <w:rFonts w:ascii="Calibri" w:hAnsi="Calibri"/>
          <w:i/>
          <w:iCs/>
        </w:rPr>
        <w:t xml:space="preserve">) Στην περιφερειακή έδρα Πόρου, οι υποθέσεις που κατατέθηκαν μέχρι την 15-9-2024 στο </w:t>
      </w:r>
      <w:proofErr w:type="spellStart"/>
      <w:r w:rsidRPr="003A6341">
        <w:rPr>
          <w:rFonts w:ascii="Calibri" w:hAnsi="Calibri"/>
          <w:i/>
          <w:iCs/>
        </w:rPr>
        <w:t>καταργηθέν</w:t>
      </w:r>
      <w:proofErr w:type="spellEnd"/>
      <w:r w:rsidRPr="003A6341">
        <w:rPr>
          <w:rFonts w:ascii="Calibri" w:hAnsi="Calibri"/>
          <w:i/>
          <w:iCs/>
        </w:rPr>
        <w:t xml:space="preserve"> Ειρηνοδικείο Πόρου.</w:t>
      </w:r>
    </w:p>
    <w:p w14:paraId="6CF48C10" w14:textId="77777777" w:rsidR="00D10F32" w:rsidRPr="003A6341" w:rsidRDefault="00D10F32" w:rsidP="00D10F32">
      <w:pPr>
        <w:shd w:val="clear" w:color="auto" w:fill="FFFFFF" w:themeFill="background1"/>
        <w:spacing w:after="0"/>
        <w:jc w:val="both"/>
        <w:rPr>
          <w:rFonts w:ascii="Calibri" w:hAnsi="Calibri"/>
          <w:i/>
          <w:iCs/>
        </w:rPr>
      </w:pPr>
      <w:r w:rsidRPr="003A6341">
        <w:rPr>
          <w:rFonts w:ascii="Calibri" w:hAnsi="Calibri"/>
          <w:i/>
          <w:iCs/>
        </w:rPr>
        <w:t xml:space="preserve">Το ίδιο θα ισχύει και για την άσκηση ενδίκων μέσων κατά αποφάσεων που έχουν εκδοθεί μέχρι της 15-9-2024 από τα καταργούμενα ειρηνοδικεία Τυχόν </w:t>
      </w:r>
      <w:proofErr w:type="spellStart"/>
      <w:r w:rsidRPr="003A6341">
        <w:rPr>
          <w:rFonts w:ascii="Calibri" w:hAnsi="Calibri"/>
          <w:i/>
          <w:iCs/>
        </w:rPr>
        <w:t>ασκηθέντα</w:t>
      </w:r>
      <w:proofErr w:type="spellEnd"/>
      <w:r w:rsidRPr="003A6341">
        <w:rPr>
          <w:rFonts w:ascii="Calibri" w:hAnsi="Calibri"/>
          <w:i/>
          <w:iCs/>
        </w:rPr>
        <w:t xml:space="preserve"> ένδικα μέσα και βοηθήματα, μέχρι την έναρξη ισχύος του παρόντος, στην έδρα  Πρωτοδικείου θεωρούνται νομότυπα και εμπρόθεσμα.</w:t>
      </w:r>
    </w:p>
    <w:p w14:paraId="7CAE2311" w14:textId="77777777" w:rsidR="00D10F32" w:rsidRPr="003A6341" w:rsidRDefault="00D10F32" w:rsidP="00D10F32">
      <w:pPr>
        <w:shd w:val="clear" w:color="auto" w:fill="FFFFFF" w:themeFill="background1"/>
        <w:spacing w:after="0"/>
        <w:jc w:val="center"/>
        <w:rPr>
          <w:rFonts w:ascii="Calibri" w:eastAsia="Times New Roman" w:hAnsi="Calibri" w:cs="Arial"/>
          <w:b/>
          <w:i/>
          <w:iCs/>
          <w:lang w:eastAsia="el-GR"/>
        </w:rPr>
      </w:pPr>
    </w:p>
    <w:p w14:paraId="3F843AB0" w14:textId="77777777" w:rsidR="00D10F32" w:rsidRPr="003A6341" w:rsidRDefault="00D10F32" w:rsidP="00D10F32">
      <w:pPr>
        <w:shd w:val="clear" w:color="auto" w:fill="FFFFFF" w:themeFill="background1"/>
        <w:spacing w:after="0"/>
        <w:jc w:val="center"/>
        <w:rPr>
          <w:rFonts w:ascii="Calibri" w:hAnsi="Calibri"/>
          <w:i/>
          <w:iCs/>
        </w:rPr>
      </w:pPr>
      <w:r w:rsidRPr="003A6341">
        <w:rPr>
          <w:rFonts w:ascii="Calibri" w:hAnsi="Calibri"/>
          <w:b/>
          <w:bCs/>
          <w:i/>
          <w:iCs/>
        </w:rPr>
        <w:t>Άρθρο 2</w:t>
      </w:r>
    </w:p>
    <w:p w14:paraId="4ECC40FC" w14:textId="77777777" w:rsidR="00D10F32" w:rsidRPr="003A6341" w:rsidRDefault="00D10F32" w:rsidP="00D10F3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alibri" w:hAnsi="Calibri"/>
          <w:i/>
          <w:iCs/>
        </w:rPr>
      </w:pPr>
      <w:r w:rsidRPr="003A6341">
        <w:rPr>
          <w:rFonts w:ascii="Calibri" w:hAnsi="Calibri"/>
          <w:b/>
          <w:bCs/>
          <w:i/>
          <w:iCs/>
        </w:rPr>
        <w:t xml:space="preserve">Κατά </w:t>
      </w:r>
      <w:proofErr w:type="spellStart"/>
      <w:r w:rsidRPr="003A6341">
        <w:rPr>
          <w:rFonts w:ascii="Calibri" w:hAnsi="Calibri"/>
          <w:b/>
          <w:bCs/>
          <w:i/>
          <w:iCs/>
        </w:rPr>
        <w:t>τόπον</w:t>
      </w:r>
      <w:proofErr w:type="spellEnd"/>
      <w:r w:rsidRPr="003A6341">
        <w:rPr>
          <w:rFonts w:ascii="Calibri" w:hAnsi="Calibri"/>
          <w:b/>
          <w:bCs/>
          <w:i/>
          <w:iCs/>
        </w:rPr>
        <w:t xml:space="preserve"> αρμοδιότητα δευτεροβάθμιων δικαστηρίων κατά αποφάσεων του Πρωτοδικείου Σπάρτης και Λιβαδειάς-Τροποποίηση του άρθρου 14 του ν 5108/2024</w:t>
      </w:r>
    </w:p>
    <w:p w14:paraId="0CE5F597" w14:textId="77777777" w:rsidR="00D10F32" w:rsidRPr="003A6341" w:rsidRDefault="00D10F32" w:rsidP="00D10F3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alibri" w:hAnsi="Calibri"/>
          <w:i/>
          <w:iCs/>
        </w:rPr>
      </w:pPr>
    </w:p>
    <w:p w14:paraId="6D0B66DD" w14:textId="77777777" w:rsidR="00D10F32" w:rsidRPr="003A6341" w:rsidRDefault="00D10F32" w:rsidP="00D10F3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i/>
          <w:iCs/>
        </w:rPr>
      </w:pPr>
      <w:r w:rsidRPr="003A6341">
        <w:rPr>
          <w:rFonts w:ascii="Calibri" w:hAnsi="Calibri"/>
          <w:i/>
          <w:iCs/>
        </w:rPr>
        <w:t>Στο άρθρο 14 του ν. 5108/2024 προστίθεται παρ. 14 και 15</w:t>
      </w:r>
    </w:p>
    <w:p w14:paraId="71821806" w14:textId="77777777" w:rsidR="00D10F32" w:rsidRPr="003A6341" w:rsidRDefault="00D10F32" w:rsidP="00D10F3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i/>
          <w:iCs/>
        </w:rPr>
      </w:pPr>
      <w:r w:rsidRPr="003A6341">
        <w:rPr>
          <w:rFonts w:ascii="Calibri" w:hAnsi="Calibri"/>
          <w:i/>
          <w:iCs/>
        </w:rPr>
        <w:t xml:space="preserve">Ι. Οι υποθέσεις του Πρωτοδικείου Σπάρτης, οι οποίες κατά την ημερομηνία ενάρξεως ισχύος του ν. 5108/2024 (16-9-2024) εκκρεμούν ενώπιον του Εφετείου Ναυπλίου και για τις οποίες δεν έχει οριστεί </w:t>
      </w:r>
      <w:proofErr w:type="spellStart"/>
      <w:r w:rsidRPr="003A6341">
        <w:rPr>
          <w:rFonts w:ascii="Calibri" w:hAnsi="Calibri"/>
          <w:i/>
          <w:iCs/>
        </w:rPr>
        <w:t>δικάσιμος,υπάγονται</w:t>
      </w:r>
      <w:proofErr w:type="spellEnd"/>
      <w:r w:rsidRPr="003A6341">
        <w:rPr>
          <w:rFonts w:ascii="Calibri" w:hAnsi="Calibri"/>
          <w:i/>
          <w:iCs/>
        </w:rPr>
        <w:t xml:space="preserve"> στην αρμοδιότητα του Εφετείου Καλαμάτας, αποστέλλονται στο Εφετείο αυτό και εκδικάζονται από αυτό. Οι υποθέσεις, για τις οποίες έχει οριστεί δικάσιμος, παραμένουν στην αρμοδιότητα του Εφετείου Ναυπλίου και εκδικάζονται από αυτό.</w:t>
      </w:r>
    </w:p>
    <w:p w14:paraId="26E09DB6" w14:textId="77777777" w:rsidR="00D10F32" w:rsidRPr="003A6341" w:rsidRDefault="00D10F32" w:rsidP="00D10F32">
      <w:pPr>
        <w:shd w:val="clear" w:color="auto" w:fill="FFFFFF" w:themeFill="background1"/>
        <w:spacing w:after="0"/>
        <w:jc w:val="both"/>
        <w:rPr>
          <w:rFonts w:ascii="Calibri" w:hAnsi="Calibri"/>
          <w:i/>
          <w:iCs/>
        </w:rPr>
      </w:pPr>
      <w:r w:rsidRPr="003A6341">
        <w:rPr>
          <w:rFonts w:ascii="Calibri" w:hAnsi="Calibri"/>
          <w:i/>
          <w:iCs/>
        </w:rPr>
        <w:t xml:space="preserve">ΙΙ.  Οι υποθέσεις </w:t>
      </w:r>
      <w:proofErr w:type="spellStart"/>
      <w:r w:rsidRPr="003A6341">
        <w:rPr>
          <w:rFonts w:ascii="Calibri" w:hAnsi="Calibri"/>
          <w:i/>
          <w:iCs/>
        </w:rPr>
        <w:t>τoυ</w:t>
      </w:r>
      <w:proofErr w:type="spellEnd"/>
      <w:r w:rsidRPr="003A6341">
        <w:rPr>
          <w:rFonts w:ascii="Calibri" w:hAnsi="Calibri"/>
          <w:i/>
          <w:iCs/>
        </w:rPr>
        <w:t xml:space="preserve"> Πρωτοδικείου Λιβαδειάς, οι οποίες κατά την ημερομηνία ενάρξεως ισχύος του ν. 5108/2024 (16-9-2024) εκκρεμούν ενώπιον του Εφετείου Λαμίας και για τις οποίες δεν έχει οριστεί δικάσιμος, υπάγονται στην αρμοδιότητα του Εφετείου Εύβοιας, αποστέλλονται στο Εφετείο αυτό και εκδικάζονται από αυτό. Οι υποθέσεις, για τις οποίες έχει οριστεί δικάσιμος, παραμένουν στην αρμοδιότητα του Εφετείου Λαμίας και εκδικάζονται από αυτό.</w:t>
      </w:r>
    </w:p>
    <w:p w14:paraId="120F0897" w14:textId="77777777" w:rsidR="00D10F32" w:rsidRPr="003A6341" w:rsidRDefault="00D10F32" w:rsidP="00D10F32">
      <w:pPr>
        <w:shd w:val="clear" w:color="auto" w:fill="FFFFFF" w:themeFill="background1"/>
        <w:spacing w:after="0"/>
        <w:jc w:val="both"/>
        <w:rPr>
          <w:rFonts w:ascii="Calibri" w:hAnsi="Calibri"/>
          <w:i/>
          <w:iCs/>
        </w:rPr>
      </w:pPr>
    </w:p>
    <w:p w14:paraId="65C9488B" w14:textId="77777777" w:rsidR="00D10F32" w:rsidRPr="003A6341" w:rsidRDefault="00D10F32" w:rsidP="00D10F32">
      <w:pPr>
        <w:shd w:val="clear" w:color="auto" w:fill="FFFFFF" w:themeFill="background1"/>
        <w:spacing w:after="0"/>
        <w:jc w:val="center"/>
        <w:rPr>
          <w:rFonts w:ascii="Calibri" w:hAnsi="Calibri"/>
          <w:i/>
          <w:iCs/>
        </w:rPr>
      </w:pPr>
      <w:r w:rsidRPr="003A6341">
        <w:rPr>
          <w:rFonts w:ascii="Calibri" w:hAnsi="Calibri"/>
          <w:b/>
          <w:bCs/>
          <w:i/>
          <w:iCs/>
        </w:rPr>
        <w:t>Άρθρο 3</w:t>
      </w:r>
    </w:p>
    <w:p w14:paraId="75F0E578" w14:textId="77777777" w:rsidR="00D10F32" w:rsidRPr="003A6341" w:rsidRDefault="00D10F32" w:rsidP="00D10F32">
      <w:pPr>
        <w:shd w:val="clear" w:color="auto" w:fill="FFFFFF" w:themeFill="background1"/>
        <w:spacing w:after="0"/>
        <w:jc w:val="center"/>
        <w:rPr>
          <w:rFonts w:ascii="Calibri" w:hAnsi="Calibri"/>
          <w:i/>
          <w:iCs/>
        </w:rPr>
      </w:pPr>
    </w:p>
    <w:p w14:paraId="35A018CB" w14:textId="77777777" w:rsidR="00D10F32" w:rsidRPr="003A6341" w:rsidRDefault="00D10F32" w:rsidP="00D10F32">
      <w:pPr>
        <w:shd w:val="clear" w:color="auto" w:fill="FFFFFF" w:themeFill="background1"/>
        <w:spacing w:after="0"/>
        <w:jc w:val="center"/>
        <w:rPr>
          <w:rFonts w:ascii="Calibri" w:hAnsi="Calibri"/>
          <w:i/>
          <w:iCs/>
        </w:rPr>
      </w:pPr>
      <w:r w:rsidRPr="003A6341">
        <w:rPr>
          <w:rFonts w:ascii="Calibri" w:hAnsi="Calibri"/>
          <w:b/>
          <w:bCs/>
          <w:i/>
          <w:iCs/>
        </w:rPr>
        <w:t>Αναστολή δικαιωμάτων λόγω αδυναμίας ηλεκτρονικής έκδοσης πιστοποιητικού</w:t>
      </w:r>
    </w:p>
    <w:p w14:paraId="59E3E24F" w14:textId="77777777" w:rsidR="00D10F32" w:rsidRPr="003A6341" w:rsidRDefault="00D10F32" w:rsidP="00D10F32">
      <w:pPr>
        <w:shd w:val="clear" w:color="auto" w:fill="FFFFFF" w:themeFill="background1"/>
        <w:spacing w:after="0"/>
        <w:jc w:val="center"/>
        <w:rPr>
          <w:rFonts w:ascii="Calibri" w:hAnsi="Calibri"/>
          <w:i/>
          <w:iCs/>
        </w:rPr>
      </w:pPr>
    </w:p>
    <w:p w14:paraId="166DE43E" w14:textId="77777777" w:rsidR="00D10F32" w:rsidRPr="003A6341" w:rsidRDefault="00D10F32" w:rsidP="00D10F32">
      <w:pPr>
        <w:shd w:val="clear" w:color="auto" w:fill="FFFFFF" w:themeFill="background1"/>
        <w:spacing w:after="0"/>
        <w:jc w:val="both"/>
        <w:rPr>
          <w:rFonts w:ascii="Calibri" w:hAnsi="Calibri"/>
          <w:i/>
          <w:iCs/>
        </w:rPr>
      </w:pPr>
      <w:r w:rsidRPr="003A6341">
        <w:rPr>
          <w:rFonts w:ascii="Calibri" w:hAnsi="Calibri"/>
          <w:i/>
          <w:iCs/>
        </w:rPr>
        <w:t xml:space="preserve">Όπου για την άσκηση δικονομικού ή ουσιαστικού δικαιώματος απαιτείται η προσκόμιση πιστοποιητικού </w:t>
      </w:r>
      <w:proofErr w:type="spellStart"/>
      <w:r w:rsidRPr="003A6341">
        <w:rPr>
          <w:rFonts w:ascii="Calibri" w:hAnsi="Calibri"/>
          <w:i/>
          <w:iCs/>
        </w:rPr>
        <w:t>εκδοθέντος</w:t>
      </w:r>
      <w:proofErr w:type="spellEnd"/>
      <w:r w:rsidRPr="003A6341">
        <w:rPr>
          <w:rFonts w:ascii="Calibri" w:hAnsi="Calibri"/>
          <w:i/>
          <w:iCs/>
        </w:rPr>
        <w:t xml:space="preserve"> από δικαστική αρχή η έκδοση του οποίου δεν ήταν δυνατή ηλεκτρονικά, η προθεσμία ασκήσεως του δικαιώματος αναστέλλεται για χρονικό διάστημα από 16-9-2024 έως 30-11-2024, εφόσον  η καταληκτική προθεσμία βρίσκεται εντός του ανωτέρω διαστήματος.</w:t>
      </w:r>
    </w:p>
    <w:p w14:paraId="10D9D573" w14:textId="77777777" w:rsidR="00D10F32" w:rsidRPr="003A6341" w:rsidRDefault="00D10F32" w:rsidP="00D10F32">
      <w:pPr>
        <w:shd w:val="clear" w:color="auto" w:fill="FFFFFF" w:themeFill="background1"/>
        <w:rPr>
          <w:rFonts w:ascii="Calibri" w:hAnsi="Calibri"/>
          <w:i/>
          <w:iCs/>
        </w:rPr>
      </w:pPr>
    </w:p>
    <w:p w14:paraId="0FDE55BA" w14:textId="77777777" w:rsidR="00D10F32" w:rsidRPr="003A6341" w:rsidRDefault="00D10F32" w:rsidP="00D10F32">
      <w:pPr>
        <w:shd w:val="clear" w:color="auto" w:fill="FFFFFF" w:themeFill="background1"/>
        <w:spacing w:after="0"/>
        <w:jc w:val="center"/>
        <w:rPr>
          <w:rFonts w:ascii="Calibri" w:hAnsi="Calibri"/>
          <w:i/>
          <w:iCs/>
        </w:rPr>
      </w:pPr>
      <w:r w:rsidRPr="003A6341">
        <w:rPr>
          <w:rFonts w:ascii="Calibri" w:hAnsi="Calibri" w:cs="Arial"/>
          <w:b/>
          <w:bCs/>
          <w:i/>
          <w:iCs/>
        </w:rPr>
        <w:t>Άρθρο 4</w:t>
      </w:r>
    </w:p>
    <w:p w14:paraId="5F8B75D8" w14:textId="77777777" w:rsidR="00D10F32" w:rsidRPr="003A6341" w:rsidRDefault="00D10F32" w:rsidP="00D10F32">
      <w:pPr>
        <w:shd w:val="clear" w:color="auto" w:fill="FFFFFF" w:themeFill="background1"/>
        <w:spacing w:after="0"/>
        <w:jc w:val="center"/>
        <w:rPr>
          <w:rFonts w:ascii="Calibri" w:hAnsi="Calibri" w:cs="Arial"/>
          <w:b/>
          <w:bCs/>
          <w:i/>
          <w:iCs/>
        </w:rPr>
      </w:pPr>
    </w:p>
    <w:p w14:paraId="0434BEEE" w14:textId="77777777" w:rsidR="00D10F32" w:rsidRPr="003A6341" w:rsidRDefault="00D10F32" w:rsidP="00D10F32">
      <w:pPr>
        <w:shd w:val="clear" w:color="auto" w:fill="FFFFFF" w:themeFill="background1"/>
        <w:spacing w:after="0"/>
        <w:jc w:val="center"/>
        <w:rPr>
          <w:rFonts w:ascii="Calibri" w:hAnsi="Calibri"/>
          <w:i/>
          <w:iCs/>
        </w:rPr>
      </w:pPr>
      <w:r w:rsidRPr="003A6341">
        <w:rPr>
          <w:rFonts w:ascii="Calibri" w:hAnsi="Calibri" w:cs="Arial"/>
          <w:b/>
          <w:bCs/>
          <w:i/>
          <w:iCs/>
        </w:rPr>
        <w:t>Μεταβατικές για διατάξεις γραμμάτια προείσπραξης</w:t>
      </w:r>
    </w:p>
    <w:p w14:paraId="768D73AB" w14:textId="77777777" w:rsidR="00D10F32" w:rsidRPr="003A6341" w:rsidRDefault="00D10F32" w:rsidP="00D10F32">
      <w:pPr>
        <w:shd w:val="clear" w:color="auto" w:fill="FFFFFF" w:themeFill="background1"/>
        <w:spacing w:after="0"/>
        <w:jc w:val="center"/>
        <w:rPr>
          <w:rFonts w:ascii="Calibri" w:hAnsi="Calibri" w:cs="Arial"/>
          <w:b/>
          <w:bCs/>
          <w:i/>
          <w:iCs/>
        </w:rPr>
      </w:pPr>
    </w:p>
    <w:p w14:paraId="2B9B64B4" w14:textId="77777777" w:rsidR="00D10F32" w:rsidRPr="003A6341" w:rsidRDefault="00D10F32" w:rsidP="00D10F32">
      <w:pPr>
        <w:shd w:val="clear" w:color="auto" w:fill="FFFFFF" w:themeFill="background1"/>
        <w:spacing w:after="0"/>
        <w:jc w:val="both"/>
        <w:rPr>
          <w:rFonts w:ascii="Calibri" w:hAnsi="Calibri"/>
          <w:i/>
          <w:iCs/>
        </w:rPr>
      </w:pPr>
      <w:r w:rsidRPr="003A6341">
        <w:rPr>
          <w:rFonts w:ascii="Calibri" w:hAnsi="Calibri" w:cs="Arial"/>
          <w:i/>
          <w:iCs/>
        </w:rPr>
        <w:t>1. Για υποθέσεις νέας τακτικής διαδικασίας εισαχθείσες στα Ειρηνοδικεία, για τις οποίες είχε κλείσει ο φάκελος δικογραφίας πριν τη 16η.9.2024 και η τυπική συζήτηση θα διεξαχθεί πλέον ενώπιον του πρωτοδικείου, θεωρείται παραδεκτή η συζήτηση και εάν το γραμμάτιο προείσπραξης δικηγορικής αμοιβής έχει εκδοθεί πριν τη 16η.9.2024 και αναφέρεται σε συζήτηση ενώπιον Ειρηνοδικείου.</w:t>
      </w:r>
    </w:p>
    <w:p w14:paraId="706D79DE" w14:textId="77777777" w:rsidR="00D10F32" w:rsidRPr="003A6341" w:rsidRDefault="00D10F32" w:rsidP="00604BF6">
      <w:pPr>
        <w:shd w:val="clear" w:color="auto" w:fill="FFFFFF" w:themeFill="background1"/>
        <w:spacing w:after="0"/>
        <w:jc w:val="both"/>
        <w:rPr>
          <w:rFonts w:ascii="Calibri" w:hAnsi="Calibri"/>
          <w:i/>
          <w:iCs/>
        </w:rPr>
      </w:pPr>
      <w:r w:rsidRPr="003A6341">
        <w:rPr>
          <w:rFonts w:ascii="Calibri" w:hAnsi="Calibri"/>
          <w:i/>
          <w:iCs/>
        </w:rPr>
        <w:lastRenderedPageBreak/>
        <w:t>2. Γραμμάτια προείσπραξης που είχαν εκδοθεί πριν τη 16η.09.2024 και αναφέρονται σε διαδικαστική πράξη ενώπιον Ειρηνοδικείου ισχύουν και για τη μετ’ αναβολή διεξαγωγή της διαδικαστικής πράξης.</w:t>
      </w:r>
    </w:p>
    <w:p w14:paraId="32E92120" w14:textId="77777777" w:rsidR="00D10F32" w:rsidRPr="003A6341" w:rsidRDefault="00D10F32" w:rsidP="00D10F32">
      <w:pPr>
        <w:shd w:val="clear" w:color="auto" w:fill="FFFFFF" w:themeFill="background1"/>
        <w:spacing w:after="0"/>
        <w:jc w:val="center"/>
        <w:rPr>
          <w:rFonts w:ascii="Calibri" w:hAnsi="Calibri"/>
          <w:i/>
          <w:iCs/>
        </w:rPr>
      </w:pPr>
    </w:p>
    <w:p w14:paraId="34A89C9F" w14:textId="77777777" w:rsidR="00D10F32" w:rsidRPr="003A6341" w:rsidRDefault="00D10F32" w:rsidP="00D10F32">
      <w:pPr>
        <w:shd w:val="clear" w:color="auto" w:fill="FFFFFF" w:themeFill="background1"/>
        <w:spacing w:after="0"/>
        <w:jc w:val="center"/>
        <w:rPr>
          <w:rFonts w:ascii="Calibri" w:hAnsi="Calibri"/>
          <w:i/>
          <w:iCs/>
        </w:rPr>
      </w:pPr>
      <w:r w:rsidRPr="003A6341">
        <w:rPr>
          <w:rFonts w:ascii="Calibri" w:hAnsi="Calibri"/>
          <w:b/>
          <w:bCs/>
          <w:i/>
          <w:iCs/>
        </w:rPr>
        <w:t>Άρθρο 5</w:t>
      </w:r>
    </w:p>
    <w:p w14:paraId="438D4AFD" w14:textId="77777777" w:rsidR="00D10F32" w:rsidRPr="003A6341" w:rsidRDefault="00D10F32" w:rsidP="00D10F32">
      <w:pPr>
        <w:shd w:val="clear" w:color="auto" w:fill="FFFFFF" w:themeFill="background1"/>
        <w:spacing w:after="0"/>
        <w:jc w:val="center"/>
        <w:rPr>
          <w:rFonts w:ascii="Calibri" w:hAnsi="Calibri"/>
          <w:i/>
          <w:iCs/>
        </w:rPr>
      </w:pPr>
      <w:r w:rsidRPr="003A6341">
        <w:rPr>
          <w:rFonts w:ascii="Calibri" w:hAnsi="Calibri" w:cs="Arial"/>
          <w:b/>
          <w:bCs/>
          <w:i/>
          <w:iCs/>
        </w:rPr>
        <w:t xml:space="preserve">Κατάθεση δικογράφου αγωγής κατά </w:t>
      </w:r>
      <w:proofErr w:type="spellStart"/>
      <w:r w:rsidRPr="003A6341">
        <w:rPr>
          <w:rFonts w:ascii="Calibri" w:hAnsi="Calibri" w:cs="Arial"/>
          <w:b/>
          <w:bCs/>
          <w:i/>
          <w:iCs/>
        </w:rPr>
        <w:t>τόπον</w:t>
      </w:r>
      <w:proofErr w:type="spellEnd"/>
      <w:r w:rsidRPr="003A6341">
        <w:rPr>
          <w:rFonts w:ascii="Calibri" w:hAnsi="Calibri" w:cs="Arial"/>
          <w:b/>
          <w:bCs/>
          <w:i/>
          <w:iCs/>
        </w:rPr>
        <w:t xml:space="preserve"> αρμοδιότητας περιφερειακής έδρας και σε παράλληλη έδρα - Μεταβατική διάταξη-Τροποποίηση του άρθρου 215 του </w:t>
      </w:r>
      <w:proofErr w:type="spellStart"/>
      <w:r w:rsidRPr="003A6341">
        <w:rPr>
          <w:rFonts w:ascii="Calibri" w:hAnsi="Calibri" w:cs="Arial"/>
          <w:b/>
          <w:bCs/>
          <w:i/>
          <w:iCs/>
        </w:rPr>
        <w:t>ΚΠολΔ</w:t>
      </w:r>
      <w:proofErr w:type="spellEnd"/>
    </w:p>
    <w:p w14:paraId="1E82B3D7" w14:textId="77777777" w:rsidR="00D10F32" w:rsidRPr="003A6341" w:rsidRDefault="00D10F32" w:rsidP="00D10F32">
      <w:pPr>
        <w:shd w:val="clear" w:color="auto" w:fill="FFFFFF" w:themeFill="background1"/>
        <w:spacing w:after="0"/>
        <w:jc w:val="center"/>
        <w:rPr>
          <w:rFonts w:ascii="Calibri" w:hAnsi="Calibri"/>
          <w:b/>
          <w:bCs/>
          <w:i/>
          <w:iCs/>
        </w:rPr>
      </w:pPr>
    </w:p>
    <w:p w14:paraId="1739F01D" w14:textId="77777777" w:rsidR="00D10F32" w:rsidRPr="003A6341" w:rsidRDefault="00D10F32" w:rsidP="00D10F32">
      <w:pPr>
        <w:shd w:val="clear" w:color="auto" w:fill="FFFFFF" w:themeFill="background1"/>
        <w:spacing w:after="0"/>
        <w:jc w:val="both"/>
        <w:rPr>
          <w:i/>
          <w:iCs/>
        </w:rPr>
      </w:pPr>
      <w:r w:rsidRPr="003A6341">
        <w:rPr>
          <w:rStyle w:val="aa"/>
          <w:rFonts w:ascii="Calibri" w:hAnsi="Calibri"/>
          <w:i/>
          <w:iCs/>
        </w:rPr>
        <w:t xml:space="preserve">1. Στο δεύτερο εδάφιο της παρ.1 του άρθρου 215 του Κώδικα Πολιτικής Δικονομίας μετά τις λέξεις “έδρας του πρωτοδικείου” προστίθεται η φράση “ είτε στη γραμματεία της περιφερειακής έδρας του πρωτοδικείου είτε </w:t>
      </w:r>
      <w:r w:rsidRPr="003A6341">
        <w:rPr>
          <w:rStyle w:val="aa"/>
          <w:rFonts w:ascii="Calibri" w:hAnsi="Calibri"/>
          <w:b w:val="0"/>
          <w:i/>
          <w:iCs/>
          <w:color w:val="000000" w:themeColor="text1"/>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στην παράλληλη έδρα του πρωτοδικείου στην κατά </w:t>
      </w:r>
      <w:proofErr w:type="spellStart"/>
      <w:r w:rsidRPr="003A6341">
        <w:rPr>
          <w:rStyle w:val="aa"/>
          <w:rFonts w:ascii="Calibri" w:hAnsi="Calibri"/>
          <w:b w:val="0"/>
          <w:i/>
          <w:iCs/>
          <w:color w:val="000000" w:themeColor="text1"/>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τόπον</w:t>
      </w:r>
      <w:proofErr w:type="spellEnd"/>
      <w:r w:rsidRPr="003A6341">
        <w:rPr>
          <w:rStyle w:val="aa"/>
          <w:rFonts w:ascii="Calibri" w:hAnsi="Calibri"/>
          <w:b w:val="0"/>
          <w:i/>
          <w:iCs/>
          <w:color w:val="000000" w:themeColor="text1"/>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αρμοδιότητα της οποίας εντάσσεται η περιφερειακή έδρα</w:t>
      </w:r>
      <w:r w:rsidRPr="003A6341">
        <w:rPr>
          <w:rStyle w:val="aa"/>
          <w:rFonts w:ascii="Calibri" w:hAnsi="Calibri"/>
          <w:b w:val="0"/>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είτε στη γραμματεία του πρωτοδικείου έδρας</w:t>
      </w:r>
      <w:r w:rsidRPr="003A6341">
        <w:rPr>
          <w:rStyle w:val="aa"/>
          <w:rFonts w:ascii="Calibri" w:hAnsi="Calibri"/>
          <w:b w:val="0"/>
          <w:i/>
          <w:iCs/>
          <w:color w:val="000000" w:themeColor="text1"/>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και η παρ.1 διαμορφώνεται ως εξής</w:t>
      </w:r>
      <w:r w:rsidRPr="003A6341">
        <w:rPr>
          <w:rStyle w:val="aa"/>
          <w:rFonts w:ascii="Calibri" w:hAnsi="Calibri"/>
          <w:i/>
          <w:iCs/>
          <w:shd w:val="clear" w:color="auto" w:fill="FFFF00"/>
        </w:rPr>
        <w:t>:</w:t>
      </w:r>
    </w:p>
    <w:p w14:paraId="24BD3412" w14:textId="77777777" w:rsidR="00D10F32" w:rsidRPr="003A6341" w:rsidRDefault="00D10F32" w:rsidP="00D10F32">
      <w:pPr>
        <w:shd w:val="clear" w:color="auto" w:fill="FFFFFF" w:themeFill="background1"/>
        <w:spacing w:after="0"/>
        <w:jc w:val="both"/>
        <w:rPr>
          <w:i/>
          <w:iCs/>
        </w:rPr>
      </w:pPr>
      <w:r w:rsidRPr="003A6341">
        <w:rPr>
          <w:rStyle w:val="aa"/>
          <w:rFonts w:ascii="Calibri" w:hAnsi="Calibri"/>
          <w:i/>
          <w:iCs/>
        </w:rPr>
        <w:t>1.</w:t>
      </w:r>
      <w:r w:rsidRPr="003A6341">
        <w:rPr>
          <w:rFonts w:ascii="Calibri" w:hAnsi="Calibri"/>
          <w:i/>
          <w:iCs/>
        </w:rPr>
        <w:t xml:space="preserve"> Η αγωγή ασκείται με κατάθεση δικογράφου στη γραμματεία του δικαστηρίου στο οποίο απευθύνεται και με επίδοση αντιγράφου της στον εναγόμενο. Αποκλειστικά σε περίπτωση αγωγής που απευθύνεται σε περιφερειακή έδρα πρωτοδικείου, κατά την έννοια του ν. 5108/2024 (Α’ 65), η κατάθεση του δικογράφου μπορεί να γίνεται  είτε στη γραμματεία της περιφερειακής έδρας του πρωτοδικείου είτε </w:t>
      </w:r>
      <w:r w:rsidRPr="003A6341">
        <w:rPr>
          <w:rFonts w:ascii="Calibri" w:hAnsi="Calibri"/>
          <w:i/>
          <w:iCs/>
          <w:shd w:val="clear" w:color="auto" w:fill="FFFF00"/>
        </w:rPr>
        <w:t xml:space="preserve">στην παράλληλη έδρα του πρωτοδικείου στην κατά </w:t>
      </w:r>
      <w:proofErr w:type="spellStart"/>
      <w:r w:rsidRPr="003A6341">
        <w:rPr>
          <w:rFonts w:ascii="Calibri" w:hAnsi="Calibri"/>
          <w:i/>
          <w:iCs/>
          <w:shd w:val="clear" w:color="auto" w:fill="FFFF00"/>
        </w:rPr>
        <w:t>τόπον</w:t>
      </w:r>
      <w:proofErr w:type="spellEnd"/>
      <w:r w:rsidRPr="003A6341">
        <w:rPr>
          <w:rFonts w:ascii="Calibri" w:hAnsi="Calibri"/>
          <w:i/>
          <w:iCs/>
          <w:shd w:val="clear" w:color="auto" w:fill="FFFF00"/>
        </w:rPr>
        <w:t xml:space="preserve"> αρμοδιότητα της οποίας εντάσσεται η περιφερειακή έδρα</w:t>
      </w:r>
      <w:r w:rsidRPr="003A6341">
        <w:rPr>
          <w:rFonts w:ascii="Calibri" w:hAnsi="Calibri"/>
          <w:i/>
          <w:iCs/>
        </w:rPr>
        <w:t xml:space="preserve"> είτε στη γραμματεία του πρωτοδικείου έδρας. Η κατάθεση του δικογράφου μπορεί να γίνεται και με ηλεκτρονικά μέσα σύμφωνα με την παρ. 4 του άρθρου 119. Κάτω από το δικόγραφο που κατατέθηκε συντάσσεται έκθεση στην οποία αναφέρεται η ημέρα, ο μήνας και το έτος της κατάθεσης, καθώς και το ονοματεπώνυμο του καταθέτη. Η έκθεση μπορεί να συντάσσεται και με ηλεκτρονικά μέσα σύμφωνα με την παρ. 2 του άρθρου 117. Αναφορά του δικογράφου της αγωγής που κατατέθηκε γίνεται χωρίς καθυστέρηση σε ειδικό βιβλίο με αλφαβητικό ευρετήριο. Στο βιβλίο αυτό αναγράφονται με αύξοντα αριθμό και χρονολογική σειρά οι αγωγές που κατατίθενται και αναφέρονται τα ονοματεπώνυμα των διαδίκων, η χρονολογία της κατάθεσης και το αντικείμενο της διαφοράς. Στη γραμματεία κάθε δικαστηρίου τηρείται και ηλεκτρονικό αρχείο αγωγών.</w:t>
      </w:r>
    </w:p>
    <w:p w14:paraId="0FCC09D3" w14:textId="77777777" w:rsidR="00D10F32" w:rsidRPr="003A6341" w:rsidRDefault="00D10F32" w:rsidP="00604BF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Arial"/>
          <w:b/>
          <w:bCs/>
          <w:i/>
          <w:iCs/>
        </w:rPr>
      </w:pPr>
      <w:r w:rsidRPr="003A6341">
        <w:rPr>
          <w:rFonts w:ascii="Calibri" w:hAnsi="Calibri"/>
          <w:i/>
          <w:iCs/>
        </w:rPr>
        <w:t>2. Η κατάθεση δικογράφου αγωγής περιφερειακής έδρας που υπάγεται σε παράλληλη έδρα πρωτοδικείου το οποίο συνολικά δεν έχει ενταχθεί στο Ολοκληρωμένο Σύστημα Διαχείρισης Δικαστικών Υποθέσεων Πολιτικής και Ποινικής Δικαιοσύνης (ΟΣΔΔΥ-ΠΠ) και μέχρι την ένταξή του, μπορεί να γίνει είτε στη γραμματεία της περιφερειακής έδρας είτε στη γραμματεία της παράλληλης  έδρας του πρωτοδικείου στο οποίο υπάγεται.</w:t>
      </w:r>
    </w:p>
    <w:p w14:paraId="21A18A2B" w14:textId="77777777" w:rsidR="00D10F32" w:rsidRPr="003A6341" w:rsidRDefault="00D10F32" w:rsidP="00D10F3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cs="Arial"/>
          <w:i/>
          <w:iCs/>
        </w:rPr>
      </w:pPr>
    </w:p>
    <w:p w14:paraId="4D3E5508" w14:textId="77777777" w:rsidR="00D10F32" w:rsidRPr="003A6341" w:rsidRDefault="00D10F32" w:rsidP="00D10F3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alibri" w:hAnsi="Calibri"/>
          <w:b/>
          <w:bCs/>
          <w:i/>
          <w:iCs/>
        </w:rPr>
      </w:pPr>
      <w:r w:rsidRPr="003A6341">
        <w:rPr>
          <w:rFonts w:ascii="Calibri" w:hAnsi="Calibri" w:cs="Arial"/>
          <w:b/>
          <w:bCs/>
          <w:i/>
          <w:iCs/>
        </w:rPr>
        <w:t>Άρθρο 6</w:t>
      </w:r>
    </w:p>
    <w:p w14:paraId="6B5103B2" w14:textId="77777777" w:rsidR="00D10F32" w:rsidRPr="003A6341" w:rsidRDefault="00D10F32" w:rsidP="00D10F32">
      <w:pPr>
        <w:shd w:val="clear" w:color="auto" w:fill="FFFFFF" w:themeFill="background1"/>
        <w:jc w:val="center"/>
        <w:rPr>
          <w:rFonts w:ascii="Calibri" w:hAnsi="Calibri"/>
          <w:i/>
          <w:iCs/>
        </w:rPr>
      </w:pPr>
      <w:r w:rsidRPr="003A6341">
        <w:rPr>
          <w:rFonts w:ascii="Calibri" w:hAnsi="Calibri" w:cs="Calibri"/>
          <w:b/>
          <w:bCs/>
          <w:i/>
          <w:iCs/>
          <w:color w:val="000000"/>
        </w:rPr>
        <w:t>Γραμμάτιο για υποθέσεις μικροδιαφορών - Τροποποίηση της περ. γ) της παρ. 7 του άρθρου 61 Κώδικα Δικηγόρων</w:t>
      </w:r>
    </w:p>
    <w:p w14:paraId="1E07C42B" w14:textId="77777777" w:rsidR="00D10F32" w:rsidRPr="003A6341" w:rsidRDefault="00D10F32" w:rsidP="00D10F32">
      <w:pPr>
        <w:pStyle w:val="xgmail-western"/>
        <w:shd w:val="clear" w:color="auto" w:fill="FFFFFF" w:themeFill="background1"/>
        <w:spacing w:after="0" w:line="253" w:lineRule="atLeast"/>
        <w:rPr>
          <w:rFonts w:ascii="Calibri" w:hAnsi="Calibri"/>
          <w:i/>
          <w:iCs/>
          <w:sz w:val="22"/>
          <w:szCs w:val="22"/>
        </w:rPr>
      </w:pPr>
      <w:r w:rsidRPr="003A6341">
        <w:rPr>
          <w:rFonts w:ascii="Calibri" w:hAnsi="Calibri" w:cs="Calibri"/>
          <w:i/>
          <w:iCs/>
          <w:color w:val="000000"/>
          <w:sz w:val="22"/>
          <w:szCs w:val="22"/>
        </w:rPr>
        <w:t>Στην περ γ) της παρ. 7 του άρθρου 61 του Κώδικα Δικηγόρων (ν. 4194/2013, Α’ 208) προστίθεται εδάφιο δεύτερο και τρίτο και η περ. γ) διαμορφώνεται ως εξής:</w:t>
      </w:r>
    </w:p>
    <w:p w14:paraId="5746C39C" w14:textId="77777777" w:rsidR="00D10F32" w:rsidRPr="003A6341" w:rsidRDefault="00D10F32" w:rsidP="00D10F32">
      <w:pPr>
        <w:pStyle w:val="xgmail-western"/>
        <w:shd w:val="clear" w:color="auto" w:fill="FFFFFF" w:themeFill="background1"/>
        <w:spacing w:after="0" w:line="253" w:lineRule="atLeast"/>
        <w:jc w:val="both"/>
        <w:outlineLvl w:val="0"/>
        <w:rPr>
          <w:rFonts w:ascii="Calibri" w:hAnsi="Calibri"/>
          <w:i/>
          <w:iCs/>
          <w:sz w:val="22"/>
          <w:szCs w:val="22"/>
        </w:rPr>
      </w:pPr>
      <w:r w:rsidRPr="003A6341">
        <w:rPr>
          <w:rFonts w:ascii="Calibri" w:hAnsi="Calibri" w:cs="Calibri"/>
          <w:i/>
          <w:iCs/>
          <w:sz w:val="22"/>
          <w:szCs w:val="22"/>
        </w:rPr>
        <w:t>«γ</w:t>
      </w:r>
      <w:r w:rsidRPr="003A6341">
        <w:rPr>
          <w:rFonts w:asciiTheme="minorHAnsi" w:eastAsiaTheme="minorHAnsi" w:hAnsiTheme="minorHAnsi" w:cs="Arial"/>
          <w:i/>
          <w:iCs/>
          <w:sz w:val="22"/>
          <w:szCs w:val="22"/>
          <w:lang w:eastAsia="en-US"/>
        </w:rPr>
        <w:t xml:space="preserve">) Για τις λοιπές διαδικασίες, στις οποίες δεν προβλέπεται αντίστοιχο γραμμάτιο πρωτοδικείου, εκδίδεται γραμμάτιο ισόποσο με το γραμμάτιο της </w:t>
      </w:r>
      <w:proofErr w:type="spellStart"/>
      <w:r w:rsidRPr="003A6341">
        <w:rPr>
          <w:rFonts w:asciiTheme="minorHAnsi" w:eastAsiaTheme="minorHAnsi" w:hAnsiTheme="minorHAnsi" w:cs="Arial"/>
          <w:i/>
          <w:iCs/>
          <w:sz w:val="22"/>
          <w:szCs w:val="22"/>
          <w:lang w:eastAsia="en-US"/>
        </w:rPr>
        <w:t>εκουσίας</w:t>
      </w:r>
      <w:proofErr w:type="spellEnd"/>
      <w:r w:rsidRPr="003A6341">
        <w:rPr>
          <w:rFonts w:asciiTheme="minorHAnsi" w:eastAsiaTheme="minorHAnsi" w:hAnsiTheme="minorHAnsi" w:cs="Arial"/>
          <w:i/>
          <w:iCs/>
          <w:sz w:val="22"/>
          <w:szCs w:val="22"/>
          <w:lang w:eastAsia="en-US"/>
        </w:rPr>
        <w:t xml:space="preserve"> δικαιοδοσίας μονομελούς πρωτοδικείου. Προκειμένου για αγωγές που ασκούνται κατά τα άρθρα 466 </w:t>
      </w:r>
      <w:proofErr w:type="spellStart"/>
      <w:r w:rsidRPr="003A6341">
        <w:rPr>
          <w:rFonts w:asciiTheme="minorHAnsi" w:eastAsiaTheme="minorHAnsi" w:hAnsiTheme="minorHAnsi" w:cs="Arial"/>
          <w:i/>
          <w:iCs/>
          <w:sz w:val="22"/>
          <w:szCs w:val="22"/>
          <w:lang w:eastAsia="en-US"/>
        </w:rPr>
        <w:t>επ</w:t>
      </w:r>
      <w:proofErr w:type="spellEnd"/>
      <w:r w:rsidRPr="003A6341">
        <w:rPr>
          <w:rFonts w:asciiTheme="minorHAnsi" w:eastAsiaTheme="minorHAnsi" w:hAnsiTheme="minorHAnsi" w:cs="Arial"/>
          <w:i/>
          <w:iCs/>
          <w:sz w:val="22"/>
          <w:szCs w:val="22"/>
          <w:lang w:eastAsia="en-US"/>
        </w:rPr>
        <w:t xml:space="preserve">. </w:t>
      </w:r>
      <w:proofErr w:type="spellStart"/>
      <w:r w:rsidRPr="003A6341">
        <w:rPr>
          <w:rFonts w:asciiTheme="minorHAnsi" w:eastAsiaTheme="minorHAnsi" w:hAnsiTheme="minorHAnsi" w:cs="Arial"/>
          <w:i/>
          <w:iCs/>
          <w:sz w:val="22"/>
          <w:szCs w:val="22"/>
          <w:lang w:eastAsia="en-US"/>
        </w:rPr>
        <w:t>ΚΠολΔ</w:t>
      </w:r>
      <w:proofErr w:type="spellEnd"/>
      <w:r w:rsidRPr="003A6341">
        <w:rPr>
          <w:rFonts w:asciiTheme="minorHAnsi" w:eastAsiaTheme="minorHAnsi" w:hAnsiTheme="minorHAnsi" w:cs="Arial"/>
          <w:i/>
          <w:iCs/>
          <w:sz w:val="22"/>
          <w:szCs w:val="22"/>
          <w:lang w:eastAsia="en-US"/>
        </w:rPr>
        <w:t xml:space="preserve">, μετά τις 16.9.2024 προσκομίζεται γραμμάτιο προείσπραξης ίσο με το ½ του γραμματίου του προηγούμενου εδαφίου της παρούσας παραγράφου. Τυχόν γραμμάτια που έχουν κατατεθεί στις εν λόγω διαφορές μετά τις 16.9.2024, είτε αφορούν κατάθεση είτε </w:t>
      </w:r>
      <w:r w:rsidRPr="003A6341">
        <w:rPr>
          <w:rFonts w:asciiTheme="minorHAnsi" w:eastAsiaTheme="minorHAnsi" w:hAnsiTheme="minorHAnsi" w:cs="Arial"/>
          <w:i/>
          <w:iCs/>
          <w:sz w:val="22"/>
          <w:szCs w:val="22"/>
          <w:lang w:eastAsia="en-US"/>
        </w:rPr>
        <w:lastRenderedPageBreak/>
        <w:t>παράσταση είτε προτάσεις, θεωρούνται νόμιμα εφόσον αναφέρονται σε διαδικασίες είτε ενώπιον Πρωτοδικείου είτε ενώπιον των παλιών Ειρηνοδικείων</w:t>
      </w:r>
      <w:r w:rsidRPr="003A6341">
        <w:rPr>
          <w:rFonts w:ascii="Calibri" w:hAnsi="Calibri" w:cs="Calibri"/>
          <w:i/>
          <w:iCs/>
          <w:sz w:val="22"/>
          <w:szCs w:val="22"/>
        </w:rPr>
        <w:t>.».</w:t>
      </w:r>
    </w:p>
    <w:p w14:paraId="17FFCFD7" w14:textId="77777777" w:rsidR="00604BF6" w:rsidRPr="003A6341" w:rsidRDefault="00C160DD" w:rsidP="00D10F32">
      <w:pPr>
        <w:shd w:val="clear" w:color="auto" w:fill="FFFFFF" w:themeFill="background1"/>
        <w:jc w:val="both"/>
        <w:rPr>
          <w:b/>
          <w:bCs/>
          <w:sz w:val="24"/>
          <w:szCs w:val="24"/>
          <w:u w:val="single"/>
        </w:rPr>
      </w:pPr>
      <w:r w:rsidRPr="003A6341">
        <w:rPr>
          <w:b/>
          <w:bCs/>
          <w:sz w:val="24"/>
          <w:szCs w:val="24"/>
          <w:u w:val="single"/>
        </w:rPr>
        <w:t>Αποφάσισε</w:t>
      </w:r>
      <w:r w:rsidR="00604BF6" w:rsidRPr="003A6341">
        <w:rPr>
          <w:b/>
          <w:bCs/>
          <w:sz w:val="24"/>
          <w:szCs w:val="24"/>
          <w:u w:val="single"/>
        </w:rPr>
        <w:t>:</w:t>
      </w:r>
    </w:p>
    <w:p w14:paraId="5530499C" w14:textId="540AF3BA" w:rsidR="00C160DD" w:rsidRPr="003A6341" w:rsidRDefault="00604BF6" w:rsidP="00D10F32">
      <w:pPr>
        <w:shd w:val="clear" w:color="auto" w:fill="FFFFFF" w:themeFill="background1"/>
        <w:jc w:val="both"/>
        <w:rPr>
          <w:b/>
          <w:bCs/>
          <w:sz w:val="24"/>
          <w:szCs w:val="24"/>
        </w:rPr>
      </w:pPr>
      <w:r w:rsidRPr="003A6341">
        <w:rPr>
          <w:sz w:val="24"/>
          <w:szCs w:val="24"/>
        </w:rPr>
        <w:t>Τ</w:t>
      </w:r>
      <w:r w:rsidR="00C160DD" w:rsidRPr="003A6341">
        <w:rPr>
          <w:sz w:val="24"/>
          <w:szCs w:val="24"/>
        </w:rPr>
        <w:t xml:space="preserve">ην </w:t>
      </w:r>
      <w:r w:rsidR="009C49C4" w:rsidRPr="003A6341">
        <w:rPr>
          <w:b/>
          <w:bCs/>
          <w:sz w:val="24"/>
          <w:szCs w:val="24"/>
        </w:rPr>
        <w:t>ΑΝΑΣΤΟΛΗ</w:t>
      </w:r>
      <w:r w:rsidR="00C160DD" w:rsidRPr="003A6341">
        <w:rPr>
          <w:b/>
          <w:bCs/>
          <w:sz w:val="24"/>
          <w:szCs w:val="24"/>
        </w:rPr>
        <w:t xml:space="preserve"> της αποχής </w:t>
      </w:r>
    </w:p>
    <w:p w14:paraId="2AF9DF74" w14:textId="4AD0A6E0" w:rsidR="009C49C4" w:rsidRPr="003A6341" w:rsidRDefault="001031F5" w:rsidP="00D10F32">
      <w:pPr>
        <w:pStyle w:val="a6"/>
        <w:numPr>
          <w:ilvl w:val="0"/>
          <w:numId w:val="1"/>
        </w:numPr>
        <w:shd w:val="clear" w:color="auto" w:fill="FFFFFF" w:themeFill="background1"/>
        <w:jc w:val="both"/>
        <w:rPr>
          <w:sz w:val="24"/>
          <w:szCs w:val="24"/>
        </w:rPr>
      </w:pPr>
      <w:r w:rsidRPr="003A6341">
        <w:rPr>
          <w:sz w:val="24"/>
          <w:szCs w:val="24"/>
        </w:rPr>
        <w:t>Από την εκδίκαση όλων των υποθέσεων στις περιφερειακές έδρες του Πρωτοδικείου Αθηνών, καθώς και στα πρώην Ειρηνοδικεία, πλην του πρώην Ειρηνοδικείου Αθηνών</w:t>
      </w:r>
    </w:p>
    <w:p w14:paraId="354B11FC" w14:textId="1A9FB79E" w:rsidR="001031F5" w:rsidRPr="003A6341" w:rsidRDefault="008F4793" w:rsidP="00D10F32">
      <w:pPr>
        <w:pStyle w:val="a6"/>
        <w:numPr>
          <w:ilvl w:val="0"/>
          <w:numId w:val="1"/>
        </w:numPr>
        <w:shd w:val="clear" w:color="auto" w:fill="FFFFFF" w:themeFill="background1"/>
        <w:jc w:val="both"/>
        <w:rPr>
          <w:sz w:val="24"/>
          <w:szCs w:val="24"/>
        </w:rPr>
      </w:pPr>
      <w:r w:rsidRPr="003A6341">
        <w:rPr>
          <w:sz w:val="24"/>
          <w:szCs w:val="24"/>
        </w:rPr>
        <w:t>Α</w:t>
      </w:r>
      <w:r w:rsidR="001031F5" w:rsidRPr="003A6341">
        <w:rPr>
          <w:sz w:val="24"/>
          <w:szCs w:val="24"/>
        </w:rPr>
        <w:t>πό την κατάθεση και τη συζήτηση υποθέσεων εγγραφής</w:t>
      </w:r>
      <w:r w:rsidR="00604BF6" w:rsidRPr="003A6341">
        <w:rPr>
          <w:sz w:val="24"/>
          <w:szCs w:val="24"/>
        </w:rPr>
        <w:t xml:space="preserve"> </w:t>
      </w:r>
      <w:r w:rsidR="001031F5" w:rsidRPr="003A6341">
        <w:rPr>
          <w:sz w:val="24"/>
          <w:szCs w:val="24"/>
        </w:rPr>
        <w:t>προσημειώσεων</w:t>
      </w:r>
      <w:r w:rsidR="00604BF6" w:rsidRPr="003A6341">
        <w:rPr>
          <w:sz w:val="24"/>
          <w:szCs w:val="24"/>
        </w:rPr>
        <w:t xml:space="preserve"> </w:t>
      </w:r>
      <w:r w:rsidR="001031F5" w:rsidRPr="003A6341">
        <w:rPr>
          <w:sz w:val="24"/>
          <w:szCs w:val="24"/>
        </w:rPr>
        <w:t>(τόσο των πληρεξουσίων δικηγόρων όσο και των δικηγόρων που έχουν εγγραφεί στον κατάλογο του Ν. 5095/2024)</w:t>
      </w:r>
    </w:p>
    <w:p w14:paraId="02E8679D" w14:textId="47F9EFB4" w:rsidR="001031F5" w:rsidRPr="003A6341" w:rsidRDefault="008F4793" w:rsidP="00D10F32">
      <w:pPr>
        <w:pStyle w:val="a6"/>
        <w:numPr>
          <w:ilvl w:val="0"/>
          <w:numId w:val="1"/>
        </w:numPr>
        <w:shd w:val="clear" w:color="auto" w:fill="FFFFFF" w:themeFill="background1"/>
        <w:jc w:val="both"/>
        <w:rPr>
          <w:sz w:val="24"/>
          <w:szCs w:val="24"/>
        </w:rPr>
      </w:pPr>
      <w:r w:rsidRPr="003A6341">
        <w:rPr>
          <w:sz w:val="24"/>
          <w:szCs w:val="24"/>
        </w:rPr>
        <w:t>Α</w:t>
      </w:r>
      <w:r w:rsidR="001031F5" w:rsidRPr="003A6341">
        <w:rPr>
          <w:sz w:val="24"/>
          <w:szCs w:val="24"/>
        </w:rPr>
        <w:t xml:space="preserve">πό την κατάθεση για την έκδοση και από την επίδοση διαταγών πληρωμής και πράξεων αναγκαστικής εκτέλεσης Τραπεζών, </w:t>
      </w:r>
      <w:proofErr w:type="spellStart"/>
      <w:r w:rsidR="001031F5" w:rsidRPr="003A6341">
        <w:rPr>
          <w:sz w:val="24"/>
          <w:szCs w:val="24"/>
        </w:rPr>
        <w:t>funds</w:t>
      </w:r>
      <w:proofErr w:type="spellEnd"/>
      <w:r w:rsidR="001031F5" w:rsidRPr="003A6341">
        <w:rPr>
          <w:sz w:val="24"/>
          <w:szCs w:val="24"/>
        </w:rPr>
        <w:t xml:space="preserve"> και εταιρειών διαχείρισης απαιτήσεων (</w:t>
      </w:r>
      <w:proofErr w:type="spellStart"/>
      <w:r w:rsidR="001031F5" w:rsidRPr="003A6341">
        <w:rPr>
          <w:sz w:val="24"/>
          <w:szCs w:val="24"/>
        </w:rPr>
        <w:t>Servicers</w:t>
      </w:r>
      <w:proofErr w:type="spellEnd"/>
      <w:r w:rsidR="001031F5" w:rsidRPr="003A6341">
        <w:rPr>
          <w:sz w:val="24"/>
          <w:szCs w:val="24"/>
        </w:rPr>
        <w:t>).</w:t>
      </w:r>
    </w:p>
    <w:p w14:paraId="0FEAFE9F" w14:textId="0D8F49BE" w:rsidR="00C160DD" w:rsidRPr="003A6341" w:rsidRDefault="00C160DD" w:rsidP="00D10F32">
      <w:pPr>
        <w:shd w:val="clear" w:color="auto" w:fill="FFFFFF" w:themeFill="background1"/>
        <w:jc w:val="both"/>
        <w:rPr>
          <w:sz w:val="24"/>
          <w:szCs w:val="24"/>
        </w:rPr>
      </w:pPr>
      <w:r w:rsidRPr="003A6341">
        <w:rPr>
          <w:sz w:val="24"/>
          <w:szCs w:val="24"/>
        </w:rPr>
        <w:t xml:space="preserve">Την </w:t>
      </w:r>
      <w:r w:rsidRPr="003A6341">
        <w:rPr>
          <w:b/>
          <w:bCs/>
          <w:sz w:val="24"/>
          <w:szCs w:val="24"/>
        </w:rPr>
        <w:t xml:space="preserve">συνέχιση της αποχής </w:t>
      </w:r>
      <w:r w:rsidR="00CF21A2" w:rsidRPr="003A6341">
        <w:rPr>
          <w:b/>
          <w:bCs/>
          <w:sz w:val="24"/>
          <w:szCs w:val="24"/>
        </w:rPr>
        <w:t xml:space="preserve">από τις 30.10.2024 μέχρι την επίλυση του ζητήματος </w:t>
      </w:r>
      <w:r w:rsidR="009C49C4" w:rsidRPr="003A6341">
        <w:rPr>
          <w:sz w:val="24"/>
          <w:szCs w:val="24"/>
        </w:rPr>
        <w:t>α</w:t>
      </w:r>
      <w:r w:rsidR="001031F5" w:rsidRPr="003A6341">
        <w:rPr>
          <w:sz w:val="24"/>
          <w:szCs w:val="24"/>
        </w:rPr>
        <w:t>πό την εκδίκαση ανακοπών που εκδικάζονται στο ισόγειο του πρώην Ειρηνοδικείου Αθηνών, πινάκια ΟΔΑ (</w:t>
      </w:r>
      <w:proofErr w:type="spellStart"/>
      <w:r w:rsidR="001031F5" w:rsidRPr="003A6341">
        <w:rPr>
          <w:sz w:val="24"/>
          <w:szCs w:val="24"/>
        </w:rPr>
        <w:t>αιθ</w:t>
      </w:r>
      <w:proofErr w:type="spellEnd"/>
      <w:r w:rsidR="001031F5" w:rsidRPr="003A6341">
        <w:rPr>
          <w:sz w:val="24"/>
          <w:szCs w:val="24"/>
        </w:rPr>
        <w:t>. 17) και ΟΓΑ (αίθ.16)</w:t>
      </w:r>
      <w:r w:rsidR="008F4793" w:rsidRPr="003A6341">
        <w:rPr>
          <w:sz w:val="24"/>
          <w:szCs w:val="24"/>
        </w:rPr>
        <w:t>, δεδομένου ότι το ζήτημα της ακαταλληλότητας των αιθουσών δεν έχει εισέτι επιλυθεί</w:t>
      </w:r>
      <w:r w:rsidR="009C49C4" w:rsidRPr="003A6341">
        <w:rPr>
          <w:sz w:val="24"/>
          <w:szCs w:val="24"/>
        </w:rPr>
        <w:t xml:space="preserve">. </w:t>
      </w:r>
    </w:p>
    <w:p w14:paraId="637C8569" w14:textId="28C860D2" w:rsidR="004C622C" w:rsidRPr="003A6341" w:rsidRDefault="004C622C" w:rsidP="00D10F32">
      <w:pPr>
        <w:shd w:val="clear" w:color="auto" w:fill="FFFFFF" w:themeFill="background1"/>
        <w:jc w:val="both"/>
        <w:rPr>
          <w:rFonts w:cstheme="minorHAnsi"/>
          <w:sz w:val="24"/>
          <w:szCs w:val="24"/>
        </w:rPr>
      </w:pPr>
      <w:r w:rsidRPr="003A6341">
        <w:rPr>
          <w:rFonts w:cstheme="minorHAnsi"/>
          <w:b/>
          <w:bCs/>
          <w:sz w:val="24"/>
          <w:szCs w:val="24"/>
        </w:rPr>
        <w:t>Υπέρ ψήφισαν:</w:t>
      </w:r>
      <w:r w:rsidR="00F466DA" w:rsidRPr="003A6341">
        <w:rPr>
          <w:rFonts w:cstheme="minorHAnsi"/>
          <w:b/>
          <w:bCs/>
          <w:sz w:val="24"/>
          <w:szCs w:val="24"/>
        </w:rPr>
        <w:t xml:space="preserve"> </w:t>
      </w:r>
      <w:r w:rsidR="00D10F32" w:rsidRPr="003A6341">
        <w:rPr>
          <w:rFonts w:cstheme="minorHAnsi"/>
          <w:sz w:val="24"/>
          <w:szCs w:val="24"/>
        </w:rPr>
        <w:t xml:space="preserve">ο Πρόεδρος Δημήτρης Βερβεσός, η Αντιπρόεδρος </w:t>
      </w:r>
      <w:proofErr w:type="spellStart"/>
      <w:r w:rsidR="00D10F32" w:rsidRPr="003A6341">
        <w:rPr>
          <w:rFonts w:cstheme="minorHAnsi"/>
          <w:sz w:val="24"/>
          <w:szCs w:val="24"/>
        </w:rPr>
        <w:t>Μαρινέττα</w:t>
      </w:r>
      <w:proofErr w:type="spellEnd"/>
      <w:r w:rsidR="00D10F32" w:rsidRPr="003A6341">
        <w:rPr>
          <w:rFonts w:cstheme="minorHAnsi"/>
          <w:sz w:val="24"/>
          <w:szCs w:val="24"/>
        </w:rPr>
        <w:t xml:space="preserve"> Γούναρη, ο Αντιπρόεδρος Μιχαήλ </w:t>
      </w:r>
      <w:proofErr w:type="spellStart"/>
      <w:r w:rsidR="00D10F32" w:rsidRPr="003A6341">
        <w:rPr>
          <w:rFonts w:cstheme="minorHAnsi"/>
          <w:sz w:val="24"/>
          <w:szCs w:val="24"/>
        </w:rPr>
        <w:t>Καλαντζόπουλος</w:t>
      </w:r>
      <w:proofErr w:type="spellEnd"/>
      <w:r w:rsidR="00D10F32" w:rsidRPr="003A6341">
        <w:rPr>
          <w:rFonts w:cstheme="minorHAnsi"/>
          <w:sz w:val="24"/>
          <w:szCs w:val="24"/>
        </w:rPr>
        <w:t xml:space="preserve">, η Γενική Γραμματέας Χριστίνα </w:t>
      </w:r>
      <w:proofErr w:type="spellStart"/>
      <w:r w:rsidR="00D10F32" w:rsidRPr="003A6341">
        <w:rPr>
          <w:rFonts w:cstheme="minorHAnsi"/>
          <w:sz w:val="24"/>
          <w:szCs w:val="24"/>
        </w:rPr>
        <w:t>Τσαγκλή</w:t>
      </w:r>
      <w:proofErr w:type="spellEnd"/>
      <w:r w:rsidR="00D10F32" w:rsidRPr="003A6341">
        <w:rPr>
          <w:rFonts w:cstheme="minorHAnsi"/>
          <w:sz w:val="24"/>
          <w:szCs w:val="24"/>
        </w:rPr>
        <w:t xml:space="preserve">, ο Σύμβουλος-Ταμίας Ιωάννης </w:t>
      </w:r>
      <w:proofErr w:type="spellStart"/>
      <w:r w:rsidR="00D10F32" w:rsidRPr="003A6341">
        <w:rPr>
          <w:rFonts w:cstheme="minorHAnsi"/>
          <w:sz w:val="24"/>
          <w:szCs w:val="24"/>
        </w:rPr>
        <w:t>Αβαρκιώτης</w:t>
      </w:r>
      <w:proofErr w:type="spellEnd"/>
      <w:r w:rsidR="005C1FEE" w:rsidRPr="005C1FEE">
        <w:rPr>
          <w:rFonts w:cstheme="minorHAnsi"/>
          <w:sz w:val="24"/>
          <w:szCs w:val="24"/>
        </w:rPr>
        <w:t xml:space="preserve"> </w:t>
      </w:r>
      <w:r w:rsidR="005C1FEE">
        <w:rPr>
          <w:rFonts w:cstheme="minorHAnsi"/>
          <w:sz w:val="24"/>
          <w:szCs w:val="24"/>
        </w:rPr>
        <w:t>και οι Σύμβουλοι</w:t>
      </w:r>
      <w:r w:rsidR="00D10F32" w:rsidRPr="003A6341">
        <w:rPr>
          <w:rFonts w:cstheme="minorHAnsi"/>
          <w:sz w:val="24"/>
          <w:szCs w:val="24"/>
        </w:rPr>
        <w:t xml:space="preserve"> Ευάγγελος Αυγουλάς, Άννα Ζουρνατζή, Χρήστος Κακλαμάνης, Γεώργιος </w:t>
      </w:r>
      <w:proofErr w:type="spellStart"/>
      <w:r w:rsidR="00D10F32" w:rsidRPr="003A6341">
        <w:rPr>
          <w:rFonts w:cstheme="minorHAnsi"/>
          <w:sz w:val="24"/>
          <w:szCs w:val="24"/>
        </w:rPr>
        <w:t>Κλεφτοδήμος</w:t>
      </w:r>
      <w:proofErr w:type="spellEnd"/>
      <w:r w:rsidR="00D10F32" w:rsidRPr="003A6341">
        <w:rPr>
          <w:rFonts w:cstheme="minorHAnsi"/>
          <w:sz w:val="24"/>
          <w:szCs w:val="24"/>
        </w:rPr>
        <w:t xml:space="preserve">, Δημήτριος </w:t>
      </w:r>
      <w:proofErr w:type="spellStart"/>
      <w:r w:rsidR="00D10F32" w:rsidRPr="003A6341">
        <w:rPr>
          <w:rFonts w:cstheme="minorHAnsi"/>
          <w:sz w:val="24"/>
          <w:szCs w:val="24"/>
        </w:rPr>
        <w:t>Λυρίτσης</w:t>
      </w:r>
      <w:proofErr w:type="spellEnd"/>
      <w:r w:rsidR="00D10F32" w:rsidRPr="003A6341">
        <w:rPr>
          <w:rFonts w:cstheme="minorHAnsi"/>
          <w:sz w:val="24"/>
          <w:szCs w:val="24"/>
        </w:rPr>
        <w:t xml:space="preserve">, Θεόδωρος Μαντάς, Αλέξανδρος </w:t>
      </w:r>
      <w:proofErr w:type="spellStart"/>
      <w:r w:rsidR="00D10F32" w:rsidRPr="003A6341">
        <w:rPr>
          <w:rFonts w:cstheme="minorHAnsi"/>
          <w:sz w:val="24"/>
          <w:szCs w:val="24"/>
        </w:rPr>
        <w:t>Μαντζούτσος</w:t>
      </w:r>
      <w:proofErr w:type="spellEnd"/>
      <w:r w:rsidR="00BB087F" w:rsidRPr="003A6341">
        <w:rPr>
          <w:rFonts w:cstheme="minorHAnsi"/>
          <w:sz w:val="24"/>
          <w:szCs w:val="24"/>
        </w:rPr>
        <w:t xml:space="preserve">, Χρυσούλα Μαρινάκη, Χριστίνα </w:t>
      </w:r>
      <w:proofErr w:type="spellStart"/>
      <w:r w:rsidR="00BB087F" w:rsidRPr="003A6341">
        <w:rPr>
          <w:rFonts w:cstheme="minorHAnsi"/>
          <w:sz w:val="24"/>
          <w:szCs w:val="24"/>
        </w:rPr>
        <w:t>Πέλκα</w:t>
      </w:r>
      <w:proofErr w:type="spellEnd"/>
    </w:p>
    <w:p w14:paraId="328E46B8" w14:textId="2A372E15" w:rsidR="00BB087F" w:rsidRPr="003A6341" w:rsidRDefault="00F466DA" w:rsidP="00BB087F">
      <w:pPr>
        <w:jc w:val="both"/>
        <w:rPr>
          <w:rFonts w:cstheme="minorHAnsi"/>
          <w:sz w:val="24"/>
          <w:szCs w:val="24"/>
        </w:rPr>
      </w:pPr>
      <w:r w:rsidRPr="003A6341">
        <w:rPr>
          <w:rFonts w:cstheme="minorHAnsi"/>
          <w:sz w:val="24"/>
          <w:szCs w:val="24"/>
        </w:rPr>
        <w:t>Οι Σύμβουλοι</w:t>
      </w:r>
      <w:r w:rsidRPr="003A6341">
        <w:rPr>
          <w:rFonts w:cstheme="minorHAnsi"/>
          <w:b/>
          <w:bCs/>
          <w:sz w:val="24"/>
          <w:szCs w:val="24"/>
        </w:rPr>
        <w:t xml:space="preserve"> </w:t>
      </w:r>
      <w:r w:rsidR="00BB087F" w:rsidRPr="003A6341">
        <w:rPr>
          <w:rFonts w:cstheme="minorHAnsi"/>
          <w:sz w:val="24"/>
          <w:szCs w:val="24"/>
        </w:rPr>
        <w:t xml:space="preserve">Φώτιος Γιαννούλας, Σωτήριος Διαμαντόπουλος, Θωμάς </w:t>
      </w:r>
      <w:proofErr w:type="spellStart"/>
      <w:r w:rsidR="00BB087F" w:rsidRPr="003A6341">
        <w:rPr>
          <w:rFonts w:cstheme="minorHAnsi"/>
          <w:sz w:val="24"/>
          <w:szCs w:val="24"/>
        </w:rPr>
        <w:t>Καμενόπουλος</w:t>
      </w:r>
      <w:proofErr w:type="spellEnd"/>
      <w:r w:rsidR="00BB087F" w:rsidRPr="003A6341">
        <w:rPr>
          <w:rFonts w:cstheme="minorHAnsi"/>
          <w:sz w:val="24"/>
          <w:szCs w:val="24"/>
        </w:rPr>
        <w:t xml:space="preserve">, Στυλιανός </w:t>
      </w:r>
      <w:proofErr w:type="spellStart"/>
      <w:r w:rsidR="00BB087F" w:rsidRPr="003A6341">
        <w:rPr>
          <w:rFonts w:cstheme="minorHAnsi"/>
          <w:sz w:val="24"/>
          <w:szCs w:val="24"/>
        </w:rPr>
        <w:t>Λεριός</w:t>
      </w:r>
      <w:proofErr w:type="spellEnd"/>
      <w:r w:rsidR="00BB087F" w:rsidRPr="003A6341">
        <w:rPr>
          <w:rFonts w:cstheme="minorHAnsi"/>
          <w:sz w:val="24"/>
          <w:szCs w:val="24"/>
        </w:rPr>
        <w:t>, Χρίστος (Τίτος) Χριστόπουλος</w:t>
      </w:r>
      <w:r w:rsidRPr="003A6341">
        <w:rPr>
          <w:rFonts w:cstheme="minorHAnsi"/>
          <w:b/>
          <w:bCs/>
          <w:sz w:val="24"/>
          <w:szCs w:val="24"/>
        </w:rPr>
        <w:t xml:space="preserve"> ψήφισαν κατά κάθε αποχής</w:t>
      </w:r>
      <w:r w:rsidR="005C1FEE">
        <w:rPr>
          <w:rFonts w:cstheme="minorHAnsi"/>
          <w:b/>
          <w:bCs/>
          <w:sz w:val="24"/>
          <w:szCs w:val="24"/>
        </w:rPr>
        <w:t>.</w:t>
      </w:r>
    </w:p>
    <w:p w14:paraId="00FA04DB" w14:textId="67F1F505" w:rsidR="00F466DA" w:rsidRPr="003A6341" w:rsidRDefault="00F466DA" w:rsidP="00D10F32">
      <w:pPr>
        <w:shd w:val="clear" w:color="auto" w:fill="FFFFFF" w:themeFill="background1"/>
        <w:jc w:val="both"/>
        <w:rPr>
          <w:rFonts w:cstheme="minorHAnsi"/>
          <w:sz w:val="24"/>
          <w:szCs w:val="24"/>
        </w:rPr>
      </w:pPr>
      <w:r w:rsidRPr="003A6341">
        <w:rPr>
          <w:rFonts w:cstheme="minorHAnsi"/>
          <w:b/>
          <w:bCs/>
          <w:color w:val="202020"/>
          <w:sz w:val="24"/>
          <w:szCs w:val="24"/>
          <w:shd w:val="clear" w:color="auto" w:fill="FFFFFF"/>
        </w:rPr>
        <w:t xml:space="preserve">Παρών </w:t>
      </w:r>
      <w:r w:rsidRPr="003A6341">
        <w:rPr>
          <w:rFonts w:cstheme="minorHAnsi"/>
          <w:sz w:val="24"/>
          <w:szCs w:val="24"/>
        </w:rPr>
        <w:t>δήλωσε ο Σύμβουλος Γεώργιος Βλάχος</w:t>
      </w:r>
    </w:p>
    <w:p w14:paraId="637044D7" w14:textId="5269F6EF" w:rsidR="00D10F32" w:rsidRPr="003A6341" w:rsidRDefault="00F466DA" w:rsidP="00D10F32">
      <w:pPr>
        <w:shd w:val="clear" w:color="auto" w:fill="FFFFFF" w:themeFill="background1"/>
        <w:jc w:val="both"/>
        <w:rPr>
          <w:rFonts w:cstheme="minorHAnsi"/>
          <w:sz w:val="24"/>
          <w:szCs w:val="24"/>
        </w:rPr>
      </w:pPr>
      <w:r w:rsidRPr="003A6341">
        <w:rPr>
          <w:rFonts w:cstheme="minorHAnsi"/>
          <w:b/>
          <w:bCs/>
          <w:sz w:val="24"/>
          <w:szCs w:val="24"/>
        </w:rPr>
        <w:t xml:space="preserve">Απόντες </w:t>
      </w:r>
      <w:r w:rsidRPr="003A6341">
        <w:rPr>
          <w:rFonts w:cstheme="minorHAnsi"/>
          <w:sz w:val="24"/>
          <w:szCs w:val="24"/>
        </w:rPr>
        <w:t xml:space="preserve">ήταν οι Σύμβουλοι Ευστάθιος Αναλυτής, Δημήτριος Αναστασόπουλος, Ανδρέας </w:t>
      </w:r>
      <w:proofErr w:type="spellStart"/>
      <w:r w:rsidRPr="003A6341">
        <w:rPr>
          <w:rFonts w:cstheme="minorHAnsi"/>
          <w:sz w:val="24"/>
          <w:szCs w:val="24"/>
        </w:rPr>
        <w:t>Κουτσόλαμπρος</w:t>
      </w:r>
      <w:proofErr w:type="spellEnd"/>
    </w:p>
    <w:p w14:paraId="60C81489" w14:textId="5FBFC976" w:rsidR="00D10F32" w:rsidRPr="00FB4DFB" w:rsidRDefault="00D10F32" w:rsidP="00604BF6">
      <w:pPr>
        <w:jc w:val="both"/>
        <w:rPr>
          <w:sz w:val="24"/>
          <w:szCs w:val="24"/>
        </w:rPr>
      </w:pPr>
      <w:r w:rsidRPr="003A6341">
        <w:rPr>
          <w:rFonts w:cstheme="minorHAnsi"/>
          <w:b/>
          <w:bCs/>
          <w:sz w:val="24"/>
          <w:szCs w:val="24"/>
        </w:rPr>
        <w:t>Αντιπαραθετική πρόταση</w:t>
      </w:r>
      <w:r w:rsidRPr="003A6341">
        <w:rPr>
          <w:rFonts w:cstheme="minorHAnsi"/>
          <w:sz w:val="24"/>
          <w:szCs w:val="24"/>
        </w:rPr>
        <w:t xml:space="preserve"> υπέβαλε ο Σύμβουλος Αντώνιος </w:t>
      </w:r>
      <w:proofErr w:type="spellStart"/>
      <w:r w:rsidRPr="003A6341">
        <w:rPr>
          <w:rFonts w:cstheme="minorHAnsi"/>
          <w:sz w:val="24"/>
          <w:szCs w:val="24"/>
        </w:rPr>
        <w:t>Αντανασιώτη</w:t>
      </w:r>
      <w:r w:rsidR="00F466DA" w:rsidRPr="003A6341">
        <w:rPr>
          <w:rFonts w:cstheme="minorHAnsi"/>
          <w:sz w:val="24"/>
          <w:szCs w:val="24"/>
        </w:rPr>
        <w:t>ς</w:t>
      </w:r>
      <w:proofErr w:type="spellEnd"/>
      <w:r w:rsidR="00F466DA" w:rsidRPr="003A6341">
        <w:rPr>
          <w:rFonts w:cstheme="minorHAnsi"/>
          <w:sz w:val="24"/>
          <w:szCs w:val="24"/>
        </w:rPr>
        <w:t xml:space="preserve">, με την οποία συντάχθηκε και η Σύμβουλος Ευγενία </w:t>
      </w:r>
      <w:proofErr w:type="spellStart"/>
      <w:r w:rsidR="00F466DA" w:rsidRPr="003A6341">
        <w:rPr>
          <w:rFonts w:cstheme="minorHAnsi"/>
          <w:sz w:val="24"/>
          <w:szCs w:val="24"/>
        </w:rPr>
        <w:t>Κουνιάκη</w:t>
      </w:r>
      <w:proofErr w:type="spellEnd"/>
      <w:r w:rsidR="00F466DA" w:rsidRPr="003A6341">
        <w:rPr>
          <w:rFonts w:cstheme="minorHAnsi"/>
          <w:sz w:val="24"/>
          <w:szCs w:val="24"/>
        </w:rPr>
        <w:t xml:space="preserve">, με την οποία εισηγήθηκε την προκήρυξη διήμερης καθολικής αποχής την Τετάρτη </w:t>
      </w:r>
      <w:r w:rsidR="00F85714" w:rsidRPr="003A6341">
        <w:rPr>
          <w:rFonts w:cstheme="minorHAnsi"/>
          <w:sz w:val="24"/>
          <w:szCs w:val="24"/>
        </w:rPr>
        <w:t>30 Οκτωβρίου καθώς και την πραγματοποίηση Γενικής Συνέλευσης και συγκέντρωσης διαμαρτυρίας τις αντίστοιχες ημέρες.</w:t>
      </w:r>
    </w:p>
    <w:sectPr w:rsidR="00D10F32" w:rsidRPr="00FB4D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625D5"/>
    <w:multiLevelType w:val="hybridMultilevel"/>
    <w:tmpl w:val="D48EF1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29F"/>
    <w:rsid w:val="00070272"/>
    <w:rsid w:val="000F7BC1"/>
    <w:rsid w:val="001031F5"/>
    <w:rsid w:val="00107AEA"/>
    <w:rsid w:val="001664C6"/>
    <w:rsid w:val="002D429F"/>
    <w:rsid w:val="003A6341"/>
    <w:rsid w:val="00424E32"/>
    <w:rsid w:val="004C622C"/>
    <w:rsid w:val="005C1FEE"/>
    <w:rsid w:val="00601BBD"/>
    <w:rsid w:val="00604BF6"/>
    <w:rsid w:val="006156EB"/>
    <w:rsid w:val="007D63D9"/>
    <w:rsid w:val="008F4793"/>
    <w:rsid w:val="009C49C4"/>
    <w:rsid w:val="00BB087F"/>
    <w:rsid w:val="00C128EC"/>
    <w:rsid w:val="00C160DD"/>
    <w:rsid w:val="00CF21A2"/>
    <w:rsid w:val="00D10F32"/>
    <w:rsid w:val="00DB63A2"/>
    <w:rsid w:val="00E25E40"/>
    <w:rsid w:val="00F466DA"/>
    <w:rsid w:val="00F85714"/>
    <w:rsid w:val="00FB4D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4CF96"/>
  <w15:chartTrackingRefBased/>
  <w15:docId w15:val="{2D1F0731-1793-4293-8BA7-DF63EA3A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4C6"/>
    <w:rPr>
      <w:kern w:val="0"/>
      <w14:ligatures w14:val="none"/>
    </w:rPr>
  </w:style>
  <w:style w:type="paragraph" w:styleId="1">
    <w:name w:val="heading 1"/>
    <w:basedOn w:val="a"/>
    <w:next w:val="a"/>
    <w:link w:val="1Char"/>
    <w:uiPriority w:val="9"/>
    <w:qFormat/>
    <w:rsid w:val="002D42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D42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D429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D429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D429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D429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D429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D429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D429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D429F"/>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Επικεφαλίδα 2 Char"/>
    <w:basedOn w:val="a0"/>
    <w:link w:val="2"/>
    <w:uiPriority w:val="9"/>
    <w:semiHidden/>
    <w:rsid w:val="002D429F"/>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Επικεφαλίδα 3 Char"/>
    <w:basedOn w:val="a0"/>
    <w:link w:val="3"/>
    <w:uiPriority w:val="9"/>
    <w:semiHidden/>
    <w:rsid w:val="002D429F"/>
    <w:rPr>
      <w:rFonts w:eastAsiaTheme="majorEastAsia" w:cstheme="majorBidi"/>
      <w:color w:val="2F5496" w:themeColor="accent1" w:themeShade="BF"/>
      <w:kern w:val="0"/>
      <w:sz w:val="28"/>
      <w:szCs w:val="28"/>
      <w14:ligatures w14:val="none"/>
    </w:rPr>
  </w:style>
  <w:style w:type="character" w:customStyle="1" w:styleId="4Char">
    <w:name w:val="Επικεφαλίδα 4 Char"/>
    <w:basedOn w:val="a0"/>
    <w:link w:val="4"/>
    <w:uiPriority w:val="9"/>
    <w:semiHidden/>
    <w:rsid w:val="002D429F"/>
    <w:rPr>
      <w:rFonts w:eastAsiaTheme="majorEastAsia" w:cstheme="majorBidi"/>
      <w:i/>
      <w:iCs/>
      <w:color w:val="2F5496" w:themeColor="accent1" w:themeShade="BF"/>
      <w:kern w:val="0"/>
      <w14:ligatures w14:val="none"/>
    </w:rPr>
  </w:style>
  <w:style w:type="character" w:customStyle="1" w:styleId="5Char">
    <w:name w:val="Επικεφαλίδα 5 Char"/>
    <w:basedOn w:val="a0"/>
    <w:link w:val="5"/>
    <w:uiPriority w:val="9"/>
    <w:semiHidden/>
    <w:rsid w:val="002D429F"/>
    <w:rPr>
      <w:rFonts w:eastAsiaTheme="majorEastAsia" w:cstheme="majorBidi"/>
      <w:color w:val="2F5496" w:themeColor="accent1" w:themeShade="BF"/>
      <w:kern w:val="0"/>
      <w14:ligatures w14:val="none"/>
    </w:rPr>
  </w:style>
  <w:style w:type="character" w:customStyle="1" w:styleId="6Char">
    <w:name w:val="Επικεφαλίδα 6 Char"/>
    <w:basedOn w:val="a0"/>
    <w:link w:val="6"/>
    <w:uiPriority w:val="9"/>
    <w:semiHidden/>
    <w:rsid w:val="002D429F"/>
    <w:rPr>
      <w:rFonts w:eastAsiaTheme="majorEastAsia" w:cstheme="majorBidi"/>
      <w:i/>
      <w:iCs/>
      <w:color w:val="595959" w:themeColor="text1" w:themeTint="A6"/>
      <w:kern w:val="0"/>
      <w14:ligatures w14:val="none"/>
    </w:rPr>
  </w:style>
  <w:style w:type="character" w:customStyle="1" w:styleId="7Char">
    <w:name w:val="Επικεφαλίδα 7 Char"/>
    <w:basedOn w:val="a0"/>
    <w:link w:val="7"/>
    <w:uiPriority w:val="9"/>
    <w:semiHidden/>
    <w:rsid w:val="002D429F"/>
    <w:rPr>
      <w:rFonts w:eastAsiaTheme="majorEastAsia" w:cstheme="majorBidi"/>
      <w:color w:val="595959" w:themeColor="text1" w:themeTint="A6"/>
      <w:kern w:val="0"/>
      <w14:ligatures w14:val="none"/>
    </w:rPr>
  </w:style>
  <w:style w:type="character" w:customStyle="1" w:styleId="8Char">
    <w:name w:val="Επικεφαλίδα 8 Char"/>
    <w:basedOn w:val="a0"/>
    <w:link w:val="8"/>
    <w:uiPriority w:val="9"/>
    <w:semiHidden/>
    <w:rsid w:val="002D429F"/>
    <w:rPr>
      <w:rFonts w:eastAsiaTheme="majorEastAsia" w:cstheme="majorBidi"/>
      <w:i/>
      <w:iCs/>
      <w:color w:val="272727" w:themeColor="text1" w:themeTint="D8"/>
      <w:kern w:val="0"/>
      <w14:ligatures w14:val="none"/>
    </w:rPr>
  </w:style>
  <w:style w:type="character" w:customStyle="1" w:styleId="9Char">
    <w:name w:val="Επικεφαλίδα 9 Char"/>
    <w:basedOn w:val="a0"/>
    <w:link w:val="9"/>
    <w:uiPriority w:val="9"/>
    <w:semiHidden/>
    <w:rsid w:val="002D429F"/>
    <w:rPr>
      <w:rFonts w:eastAsiaTheme="majorEastAsia" w:cstheme="majorBidi"/>
      <w:color w:val="272727" w:themeColor="text1" w:themeTint="D8"/>
      <w:kern w:val="0"/>
      <w14:ligatures w14:val="none"/>
    </w:rPr>
  </w:style>
  <w:style w:type="paragraph" w:styleId="a3">
    <w:name w:val="Title"/>
    <w:basedOn w:val="a"/>
    <w:next w:val="a"/>
    <w:link w:val="Char"/>
    <w:uiPriority w:val="10"/>
    <w:qFormat/>
    <w:rsid w:val="002D42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D429F"/>
    <w:rPr>
      <w:rFonts w:asciiTheme="majorHAnsi" w:eastAsiaTheme="majorEastAsia" w:hAnsiTheme="majorHAnsi" w:cstheme="majorBidi"/>
      <w:spacing w:val="-10"/>
      <w:kern w:val="28"/>
      <w:sz w:val="56"/>
      <w:szCs w:val="56"/>
      <w14:ligatures w14:val="none"/>
    </w:rPr>
  </w:style>
  <w:style w:type="paragraph" w:styleId="a4">
    <w:name w:val="Subtitle"/>
    <w:basedOn w:val="a"/>
    <w:next w:val="a"/>
    <w:link w:val="Char0"/>
    <w:uiPriority w:val="11"/>
    <w:qFormat/>
    <w:rsid w:val="002D429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D429F"/>
    <w:rPr>
      <w:rFonts w:eastAsiaTheme="majorEastAsia" w:cstheme="majorBidi"/>
      <w:color w:val="595959" w:themeColor="text1" w:themeTint="A6"/>
      <w:spacing w:val="15"/>
      <w:kern w:val="0"/>
      <w:sz w:val="28"/>
      <w:szCs w:val="28"/>
      <w14:ligatures w14:val="none"/>
    </w:rPr>
  </w:style>
  <w:style w:type="paragraph" w:styleId="a5">
    <w:name w:val="Quote"/>
    <w:basedOn w:val="a"/>
    <w:next w:val="a"/>
    <w:link w:val="Char1"/>
    <w:uiPriority w:val="29"/>
    <w:qFormat/>
    <w:rsid w:val="002D429F"/>
    <w:pPr>
      <w:spacing w:before="160"/>
      <w:jc w:val="center"/>
    </w:pPr>
    <w:rPr>
      <w:i/>
      <w:iCs/>
      <w:color w:val="404040" w:themeColor="text1" w:themeTint="BF"/>
    </w:rPr>
  </w:style>
  <w:style w:type="character" w:customStyle="1" w:styleId="Char1">
    <w:name w:val="Απόσπασμα Char"/>
    <w:basedOn w:val="a0"/>
    <w:link w:val="a5"/>
    <w:uiPriority w:val="29"/>
    <w:rsid w:val="002D429F"/>
    <w:rPr>
      <w:i/>
      <w:iCs/>
      <w:color w:val="404040" w:themeColor="text1" w:themeTint="BF"/>
      <w:kern w:val="0"/>
      <w14:ligatures w14:val="none"/>
    </w:rPr>
  </w:style>
  <w:style w:type="paragraph" w:styleId="a6">
    <w:name w:val="List Paragraph"/>
    <w:basedOn w:val="a"/>
    <w:uiPriority w:val="34"/>
    <w:qFormat/>
    <w:rsid w:val="002D429F"/>
    <w:pPr>
      <w:ind w:left="720"/>
      <w:contextualSpacing/>
    </w:pPr>
  </w:style>
  <w:style w:type="character" w:styleId="a7">
    <w:name w:val="Intense Emphasis"/>
    <w:basedOn w:val="a0"/>
    <w:uiPriority w:val="21"/>
    <w:qFormat/>
    <w:rsid w:val="002D429F"/>
    <w:rPr>
      <w:i/>
      <w:iCs/>
      <w:color w:val="2F5496" w:themeColor="accent1" w:themeShade="BF"/>
    </w:rPr>
  </w:style>
  <w:style w:type="paragraph" w:styleId="a8">
    <w:name w:val="Intense Quote"/>
    <w:basedOn w:val="a"/>
    <w:next w:val="a"/>
    <w:link w:val="Char2"/>
    <w:uiPriority w:val="30"/>
    <w:qFormat/>
    <w:rsid w:val="002D42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2D429F"/>
    <w:rPr>
      <w:i/>
      <w:iCs/>
      <w:color w:val="2F5496" w:themeColor="accent1" w:themeShade="BF"/>
      <w:kern w:val="0"/>
      <w14:ligatures w14:val="none"/>
    </w:rPr>
  </w:style>
  <w:style w:type="character" w:styleId="a9">
    <w:name w:val="Intense Reference"/>
    <w:basedOn w:val="a0"/>
    <w:uiPriority w:val="32"/>
    <w:qFormat/>
    <w:rsid w:val="002D429F"/>
    <w:rPr>
      <w:b/>
      <w:bCs/>
      <w:smallCaps/>
      <w:color w:val="2F5496" w:themeColor="accent1" w:themeShade="BF"/>
      <w:spacing w:val="5"/>
    </w:rPr>
  </w:style>
  <w:style w:type="character" w:styleId="aa">
    <w:name w:val="Strong"/>
    <w:uiPriority w:val="22"/>
    <w:qFormat/>
    <w:rsid w:val="00D10F32"/>
    <w:rPr>
      <w:b/>
      <w:bCs/>
    </w:rPr>
  </w:style>
  <w:style w:type="paragraph" w:customStyle="1" w:styleId="xgmail-western">
    <w:name w:val="x_gmail-western"/>
    <w:basedOn w:val="a"/>
    <w:qFormat/>
    <w:rsid w:val="00D10F32"/>
    <w:pPr>
      <w:spacing w:beforeAutospacing="1" w:after="2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30673">
      <w:bodyDiv w:val="1"/>
      <w:marLeft w:val="0"/>
      <w:marRight w:val="0"/>
      <w:marTop w:val="0"/>
      <w:marBottom w:val="0"/>
      <w:divBdr>
        <w:top w:val="none" w:sz="0" w:space="0" w:color="auto"/>
        <w:left w:val="none" w:sz="0" w:space="0" w:color="auto"/>
        <w:bottom w:val="none" w:sz="0" w:space="0" w:color="auto"/>
        <w:right w:val="none" w:sz="0" w:space="0" w:color="auto"/>
      </w:divBdr>
    </w:div>
    <w:div w:id="193943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1622</Words>
  <Characters>8762</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Κωνσταντίνος Ρίζος</dc:creator>
  <cp:keywords/>
  <dc:description/>
  <cp:lastModifiedBy>User</cp:lastModifiedBy>
  <cp:revision>2</cp:revision>
  <cp:lastPrinted>2024-10-25T13:22:00Z</cp:lastPrinted>
  <dcterms:created xsi:type="dcterms:W3CDTF">2024-10-25T15:21:00Z</dcterms:created>
  <dcterms:modified xsi:type="dcterms:W3CDTF">2024-10-25T15:21:00Z</dcterms:modified>
</cp:coreProperties>
</file>