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25" w:rsidRDefault="0016689E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 xml:space="preserve">      </w:t>
      </w:r>
      <w:r>
        <w:rPr>
          <w:noProof/>
          <w:lang w:eastAsia="el-GR" w:bidi="ar-SA"/>
        </w:rPr>
        <w:drawing>
          <wp:inline distT="0" distB="0" distL="0" distR="0">
            <wp:extent cx="533520" cy="514439"/>
            <wp:effectExtent l="0" t="0" r="0" b="0"/>
            <wp:docPr id="1" name="Εικόνα 1" descr="Ι.Σ.Ρόδου - Προκήρυξη κενών θέσεων στα Περιφερειακά Ιατρεία χώρου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520" cy="514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81225" w:rsidRDefault="0016689E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ΔΗΜΟΚΡΑΤΙΑ                                           </w:t>
      </w:r>
    </w:p>
    <w:p w:rsidR="00181225" w:rsidRDefault="0016689E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</w:rPr>
        <w:t>ΕΙΡΗΝΟΔΙΚΕΙΟ ΝΕΑΣ ΙΩΝΙΑΣ                       Νέα Ιωνία  01.06.2022</w:t>
      </w:r>
    </w:p>
    <w:p w:rsidR="00181225" w:rsidRDefault="0016689E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181225" w:rsidRDefault="00181225">
      <w:pPr>
        <w:pStyle w:val="Standard"/>
        <w:spacing w:line="360" w:lineRule="auto"/>
        <w:rPr>
          <w:rFonts w:ascii="Arial" w:hAnsi="Arial" w:cs="Arial"/>
          <w:b/>
        </w:rPr>
      </w:pPr>
    </w:p>
    <w:p w:rsidR="00181225" w:rsidRDefault="00181225">
      <w:pPr>
        <w:pStyle w:val="Standard"/>
        <w:spacing w:line="360" w:lineRule="auto"/>
        <w:rPr>
          <w:rFonts w:ascii="Arial" w:hAnsi="Arial" w:cs="Arial"/>
          <w:b/>
        </w:rPr>
      </w:pPr>
    </w:p>
    <w:p w:rsidR="00181225" w:rsidRDefault="0016689E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Αρ. Πράξης        102 /2022  </w:t>
      </w:r>
    </w:p>
    <w:p w:rsidR="00181225" w:rsidRDefault="0016689E">
      <w:pPr>
        <w:pStyle w:val="Standard"/>
        <w:spacing w:line="360" w:lineRule="auto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ndalus" w:hAnsi="Andalus" w:cs="Arial"/>
          <w:b/>
        </w:rPr>
        <w:t xml:space="preserve"> </w:t>
      </w:r>
    </w:p>
    <w:p w:rsidR="00181225" w:rsidRDefault="00181225">
      <w:pPr>
        <w:pStyle w:val="Standard"/>
        <w:spacing w:line="360" w:lineRule="auto"/>
        <w:rPr>
          <w:rFonts w:ascii="Andalus" w:hAnsi="Andalus" w:cs="Arial" w:hint="eastAsia"/>
        </w:rPr>
      </w:pPr>
    </w:p>
    <w:p w:rsidR="00181225" w:rsidRDefault="00181225">
      <w:pPr>
        <w:pStyle w:val="Standard"/>
        <w:spacing w:line="360" w:lineRule="auto"/>
        <w:rPr>
          <w:rFonts w:ascii="Andalus" w:hAnsi="Andalus" w:cs="Arial" w:hint="eastAsia"/>
        </w:rPr>
      </w:pPr>
    </w:p>
    <w:p w:rsidR="00181225" w:rsidRDefault="0016689E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Σύμφωνα με το άρθρο 4Κ του Ν 3869/2010, όπως το άρθρο αυτό προστέθηκε με το άρθρο 1 του Ν 4745/2020 (ΦΕΚ Α 214/6.11.2020) , αποσύρονται αυτοδίκαια  οι υποθέσεις , οποίες έχουν προσδιοριστεί για συζήτηση </w:t>
      </w:r>
      <w:r>
        <w:rPr>
          <w:rFonts w:ascii="Andalus" w:hAnsi="Andalus" w:cs="Arial"/>
        </w:rPr>
        <w:t>ενώπιον του Ειρηνοδικείου Νέας Ιωνίας:</w:t>
      </w:r>
    </w:p>
    <w:p w:rsidR="00181225" w:rsidRDefault="0016689E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3</w:t>
      </w:r>
      <w:r>
        <w:rPr>
          <w:rFonts w:ascii="Andalus" w:hAnsi="Andalus" w:cs="Arial"/>
          <w:b/>
          <w:bCs/>
          <w:u w:val="single"/>
        </w:rPr>
        <w:t>/6/2022</w:t>
      </w:r>
      <w:r>
        <w:rPr>
          <w:rFonts w:ascii="Andalus" w:hAnsi="Andalus" w:cs="Arial"/>
        </w:rPr>
        <w:t xml:space="preserve">     , ήτοι σε δικάσιμο μεταγενέστερη της 15.6.2021: Αριθμός  Κατάθεσης Δικογράφου Αίτησης:27/2018, 382/2016, 478/2013, 764/2014, 757/2014</w:t>
      </w:r>
    </w:p>
    <w:p w:rsidR="00181225" w:rsidRDefault="0016689E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6</w:t>
      </w:r>
      <w:r>
        <w:rPr>
          <w:rFonts w:ascii="Andalus" w:hAnsi="Andalus" w:cs="Arial"/>
          <w:b/>
          <w:bCs/>
          <w:u w:val="single"/>
        </w:rPr>
        <w:t>/6/2022</w:t>
      </w:r>
      <w:r>
        <w:rPr>
          <w:rFonts w:ascii="Andalus" w:hAnsi="Andalus" w:cs="Arial"/>
        </w:rPr>
        <w:t xml:space="preserve">     , ήτοι σε δικάσιμο μεταγενέστερη της 15.6.2</w:t>
      </w:r>
      <w:r>
        <w:rPr>
          <w:rFonts w:ascii="Andalus" w:hAnsi="Andalus" w:cs="Arial"/>
        </w:rPr>
        <w:t>021:                      Αριθμός  Κατάθεσης Δικογράφου Αίτησης:---------</w:t>
      </w:r>
    </w:p>
    <w:p w:rsidR="00181225" w:rsidRDefault="0016689E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10</w:t>
      </w:r>
      <w:r>
        <w:rPr>
          <w:rFonts w:ascii="Andalus" w:hAnsi="Andalus" w:cs="Arial"/>
          <w:b/>
          <w:bCs/>
          <w:u w:val="single"/>
        </w:rPr>
        <w:t>/6/2022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 249/2013, 66/2019, 621/2014, 248/2013</w:t>
      </w:r>
    </w:p>
    <w:p w:rsidR="00181225" w:rsidRDefault="0016689E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b/>
          <w:u w:val="single"/>
        </w:rPr>
        <w:t>17/6/2022</w:t>
      </w:r>
      <w:r>
        <w:rPr>
          <w:rFonts w:ascii="Andalus" w:hAnsi="Andalus" w:cs="Arial"/>
        </w:rPr>
        <w:t xml:space="preserve">,  ήτοι σε δικάσιμο μεταγενέστερη της 15.6.2021:   </w:t>
      </w:r>
    </w:p>
    <w:p w:rsidR="00181225" w:rsidRDefault="0016689E">
      <w:pPr>
        <w:pStyle w:val="Textbody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Αριθμός  Κατάθεσης Δικογράφου Αίτησης:</w:t>
      </w:r>
      <w:r>
        <w:rPr>
          <w:rFonts w:ascii="Andalus" w:hAnsi="Andalus" w:cs="Arial"/>
        </w:rPr>
        <w:t xml:space="preserve"> 236/2018, 105/2020, 104/2020,  491/2013, 763/2014, 141/2015(833/2014), 490/2013, 235/2018</w:t>
      </w:r>
    </w:p>
    <w:p w:rsidR="00181225" w:rsidRDefault="0016689E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20</w:t>
      </w:r>
      <w:r>
        <w:rPr>
          <w:rFonts w:ascii="Andalus" w:hAnsi="Andalus" w:cs="Arial"/>
          <w:b/>
          <w:bCs/>
          <w:u w:val="single"/>
        </w:rPr>
        <w:t>/6/2022</w:t>
      </w:r>
      <w:r>
        <w:rPr>
          <w:rFonts w:ascii="Andalus" w:hAnsi="Andalus" w:cs="Arial"/>
        </w:rPr>
        <w:t xml:space="preserve">     , ήτοι σε δικάσιμο μεταγενέστερη της 15.6.2021:                      Αριθμός  Κατάθεσης Δικογράφου Αίτησης:---------</w:t>
      </w:r>
    </w:p>
    <w:p w:rsidR="00181225" w:rsidRDefault="0016689E">
      <w:pPr>
        <w:pStyle w:val="Textbody"/>
        <w:rPr>
          <w:rFonts w:hint="eastAsia"/>
        </w:rPr>
      </w:pPr>
      <w:r>
        <w:rPr>
          <w:rFonts w:ascii="Andalus" w:hAnsi="Andalus" w:cs="Arial"/>
        </w:rPr>
        <w:t xml:space="preserve">στις </w:t>
      </w:r>
      <w:r>
        <w:rPr>
          <w:rFonts w:ascii="Andalus" w:hAnsi="Andalus" w:cs="Arial"/>
          <w:u w:val="single"/>
        </w:rPr>
        <w:t xml:space="preserve"> </w:t>
      </w:r>
      <w:r>
        <w:rPr>
          <w:rFonts w:ascii="Andalus" w:hAnsi="Andalus" w:cs="Arial"/>
          <w:b/>
          <w:u w:val="single"/>
        </w:rPr>
        <w:t>24</w:t>
      </w:r>
      <w:r>
        <w:rPr>
          <w:rFonts w:ascii="Andalus" w:hAnsi="Andalus" w:cs="Arial"/>
          <w:b/>
          <w:bCs/>
          <w:u w:val="single"/>
        </w:rPr>
        <w:t>/6/2022</w:t>
      </w:r>
      <w:r>
        <w:rPr>
          <w:rFonts w:ascii="Andalus" w:hAnsi="Andalus" w:cs="Arial"/>
        </w:rPr>
        <w:t xml:space="preserve">     , ήτοι σ</w:t>
      </w:r>
      <w:r>
        <w:rPr>
          <w:rFonts w:ascii="Andalus" w:hAnsi="Andalus" w:cs="Arial"/>
        </w:rPr>
        <w:t>ε δικάσιμο μεταγενέστερη της 15.6.2021:                      Αριθμός  Κατάθεσης Δικογράφου Αίτησης: 765/2014, 713/2014, 255/2013, 82/2019, 498/2013, 86/2019,494/2013.</w:t>
      </w:r>
    </w:p>
    <w:p w:rsidR="00181225" w:rsidRDefault="00181225">
      <w:pPr>
        <w:pStyle w:val="Textbody"/>
        <w:rPr>
          <w:rFonts w:ascii="Andalus" w:hAnsi="Andalus" w:cs="Arial" w:hint="eastAsia"/>
        </w:rPr>
      </w:pPr>
    </w:p>
    <w:p w:rsidR="00181225" w:rsidRDefault="00181225">
      <w:pPr>
        <w:pStyle w:val="Textbody"/>
        <w:rPr>
          <w:rFonts w:hint="eastAsia"/>
        </w:rPr>
      </w:pPr>
    </w:p>
    <w:p w:rsidR="00181225" w:rsidRDefault="0016689E">
      <w:pPr>
        <w:pStyle w:val="Standard"/>
        <w:spacing w:line="360" w:lineRule="auto"/>
        <w:rPr>
          <w:rFonts w:hint="eastAsia"/>
        </w:rPr>
      </w:pPr>
      <w:r>
        <w:rPr>
          <w:rFonts w:ascii="Andalus" w:hAnsi="Andalus" w:cs="Arial"/>
          <w:b/>
        </w:rPr>
        <w:t xml:space="preserve">                   </w:t>
      </w:r>
      <w:r>
        <w:rPr>
          <w:rFonts w:ascii="Andalus" w:hAnsi="Andalus" w:cs="Arial"/>
        </w:rPr>
        <w:t xml:space="preserve"> Η Διευθύνουσα το Ειρηνοδικείο Νέας Ιωνίας </w:t>
      </w:r>
      <w:r>
        <w:rPr>
          <w:rFonts w:ascii="Andalus" w:hAnsi="Andalus" w:cs="Arial"/>
        </w:rPr>
        <w:t xml:space="preserve">                                       </w:t>
      </w:r>
    </w:p>
    <w:p w:rsidR="00181225" w:rsidRDefault="0016689E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</w:p>
    <w:p w:rsidR="00181225" w:rsidRDefault="0016689E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  <w:t>Αγγελική Μαλούκου</w:t>
      </w:r>
    </w:p>
    <w:p w:rsidR="00181225" w:rsidRDefault="0016689E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   </w:t>
      </w:r>
      <w:r>
        <w:rPr>
          <w:rFonts w:ascii="Andalus" w:hAnsi="Andalus" w:cs="Arial"/>
        </w:rPr>
        <w:tab/>
        <w:t>Ειρηνοδίκης Α΄</w:t>
      </w:r>
    </w:p>
    <w:p w:rsidR="00181225" w:rsidRDefault="00181225">
      <w:pPr>
        <w:pStyle w:val="Standard"/>
        <w:spacing w:line="360" w:lineRule="auto"/>
        <w:rPr>
          <w:rFonts w:ascii="Andalus" w:hAnsi="Andalus" w:cs="Arial" w:hint="eastAsia"/>
        </w:rPr>
      </w:pPr>
    </w:p>
    <w:p w:rsidR="00181225" w:rsidRDefault="0016689E">
      <w:pPr>
        <w:pStyle w:val="Standard"/>
        <w:spacing w:line="360" w:lineRule="auto"/>
        <w:rPr>
          <w:rFonts w:ascii="Andalus" w:hAnsi="Andalus" w:cs="Arial" w:hint="eastAsia"/>
        </w:rPr>
      </w:pPr>
      <w:r>
        <w:rPr>
          <w:rFonts w:ascii="Andalus" w:hAnsi="Andalus" w:cs="Arial"/>
        </w:rPr>
        <w:t xml:space="preserve">                       </w:t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  <w:r>
        <w:rPr>
          <w:rFonts w:ascii="Andalus" w:hAnsi="Andalus" w:cs="Arial"/>
        </w:rPr>
        <w:tab/>
      </w:r>
    </w:p>
    <w:p w:rsidR="00181225" w:rsidRDefault="00181225">
      <w:pPr>
        <w:pStyle w:val="Standard"/>
        <w:rPr>
          <w:rFonts w:ascii="Andalus" w:hAnsi="Andalus" w:cs="Arial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p w:rsidR="00181225" w:rsidRDefault="00181225">
      <w:pPr>
        <w:pStyle w:val="Standard"/>
        <w:jc w:val="center"/>
        <w:rPr>
          <w:rFonts w:ascii="Andalus" w:hAnsi="Andalus" w:hint="eastAsia"/>
        </w:rPr>
      </w:pPr>
    </w:p>
    <w:p w:rsidR="00181225" w:rsidRDefault="00181225">
      <w:pPr>
        <w:pStyle w:val="Standard"/>
        <w:rPr>
          <w:rFonts w:ascii="Andalus" w:hAnsi="Andalus" w:hint="eastAsia"/>
        </w:rPr>
      </w:pPr>
    </w:p>
    <w:sectPr w:rsidR="00181225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9E" w:rsidRDefault="0016689E">
      <w:pPr>
        <w:rPr>
          <w:rFonts w:hint="eastAsia"/>
        </w:rPr>
      </w:pPr>
      <w:r>
        <w:separator/>
      </w:r>
    </w:p>
  </w:endnote>
  <w:endnote w:type="continuationSeparator" w:id="0">
    <w:p w:rsidR="0016689E" w:rsidRDefault="001668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9E" w:rsidRDefault="0016689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689E" w:rsidRDefault="001668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1225"/>
    <w:rsid w:val="0016689E"/>
    <w:rsid w:val="00181225"/>
    <w:rsid w:val="00E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3DFE1-36D7-431E-9812-46746F4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/&#913;&#928;&#927;&#931;&#933;&#929;&#931;&#919;%20&#921;&#927;&#933;&#925;&#921;&#927;&#933;%202022.odt/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EirinodikeioUser</dc:creator>
  <dc:description/>
  <cp:lastModifiedBy>User</cp:lastModifiedBy>
  <cp:revision>2</cp:revision>
  <cp:lastPrinted>2022-06-01T12:46:00Z</cp:lastPrinted>
  <dcterms:created xsi:type="dcterms:W3CDTF">2022-06-02T20:35:00Z</dcterms:created>
  <dcterms:modified xsi:type="dcterms:W3CDTF">2022-06-02T20:35:00Z</dcterms:modified>
</cp:coreProperties>
</file>